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600" w:lineRule="exact"/>
        <w:jc w:val="both"/>
        <w:outlineLvl w:val="0"/>
        <w:rPr>
          <w:rFonts w:ascii="方正小标宋简体" w:hAnsi="宋体" w:eastAsia="方正小标宋简体"/>
          <w:color w:val="auto"/>
          <w:sz w:val="72"/>
          <w:szCs w:val="72"/>
          <w:highlight w:val="none"/>
        </w:rPr>
      </w:pPr>
      <w:bookmarkStart w:id="0" w:name="_Toc15377425"/>
      <w:bookmarkStart w:id="1" w:name="_Toc15396475"/>
      <w:bookmarkStart w:id="2" w:name="_Toc15378441"/>
      <w:bookmarkStart w:id="3" w:name="_Toc15396597"/>
      <w:bookmarkStart w:id="4" w:name="_Toc15377193"/>
      <w:bookmarkStart w:id="5" w:name="_Toc15306267"/>
      <w:bookmarkStart w:id="94" w:name="_GoBack"/>
      <w:bookmarkEnd w:id="94"/>
    </w:p>
    <w:p>
      <w:pPr>
        <w:wordWrap/>
        <w:spacing w:line="600" w:lineRule="exact"/>
        <w:jc w:val="both"/>
        <w:outlineLvl w:val="0"/>
        <w:rPr>
          <w:rFonts w:ascii="方正小标宋简体" w:hAnsi="宋体" w:eastAsia="方正小标宋简体"/>
          <w:color w:val="auto"/>
          <w:sz w:val="72"/>
          <w:szCs w:val="72"/>
          <w:highlight w:val="none"/>
        </w:rPr>
      </w:pPr>
    </w:p>
    <w:p>
      <w:pPr>
        <w:pStyle w:val="5"/>
        <w:wordWrap/>
        <w:jc w:val="both"/>
        <w:rPr>
          <w:rFonts w:ascii="方正小标宋简体" w:hAnsi="宋体" w:eastAsia="方正小标宋简体"/>
          <w:color w:val="auto"/>
          <w:sz w:val="72"/>
          <w:szCs w:val="72"/>
          <w:highlight w:val="none"/>
        </w:rPr>
      </w:pPr>
    </w:p>
    <w:p>
      <w:pPr>
        <w:wordWrap/>
        <w:jc w:val="both"/>
        <w:rPr>
          <w:rFonts w:ascii="方正小标宋简体" w:hAnsi="宋体" w:eastAsia="方正小标宋简体"/>
          <w:color w:val="auto"/>
          <w:sz w:val="72"/>
          <w:szCs w:val="72"/>
          <w:highlight w:val="none"/>
        </w:rPr>
      </w:pPr>
    </w:p>
    <w:p>
      <w:pPr>
        <w:pStyle w:val="5"/>
        <w:wordWrap/>
        <w:jc w:val="both"/>
      </w:pPr>
    </w:p>
    <w:p>
      <w:pPr>
        <w:wordWrap/>
        <w:spacing w:line="600" w:lineRule="exact"/>
        <w:jc w:val="both"/>
        <w:outlineLvl w:val="0"/>
        <w:rPr>
          <w:rFonts w:ascii="方正小标宋简体" w:hAnsi="宋体" w:eastAsia="方正小标宋简体"/>
          <w:color w:val="auto"/>
          <w:sz w:val="72"/>
          <w:szCs w:val="72"/>
          <w:highlight w:val="none"/>
        </w:rPr>
      </w:pPr>
    </w:p>
    <w:p>
      <w:pPr>
        <w:wordWrap/>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wordWrap/>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426"/>
      <w:bookmarkStart w:id="8" w:name="_Toc15377194"/>
      <w:bookmarkStart w:id="9" w:name="_Toc15378442"/>
      <w:bookmarkStart w:id="10" w:name="_Toc15396476"/>
      <w:r>
        <w:rPr>
          <w:rFonts w:hint="eastAsia" w:ascii="方正小标宋简体" w:hAnsi="方正小标宋简体" w:eastAsia="方正小标宋简体" w:cs="方正小标宋简体"/>
          <w:color w:val="auto"/>
          <w:sz w:val="72"/>
          <w:szCs w:val="72"/>
          <w:highlight w:val="none"/>
          <w:lang w:val="en-US" w:eastAsia="zh-CN"/>
        </w:rPr>
        <w:t>泸县</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审计局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ordWrap/>
        <w:adjustRightInd w:val="0"/>
        <w:snapToGrid w:val="0"/>
        <w:spacing w:line="360" w:lineRule="auto"/>
        <w:jc w:val="center"/>
        <w:outlineLvl w:val="0"/>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wordWrap/>
        <w:jc w:val="both"/>
        <w:rPr>
          <w:rFonts w:ascii="黑体" w:hAnsi="黑体" w:eastAsia="黑体" w:cs="黑体"/>
          <w:color w:val="auto"/>
          <w:sz w:val="28"/>
          <w:szCs w:val="28"/>
          <w:highlight w:val="none"/>
        </w:rPr>
      </w:pPr>
    </w:p>
    <w:p>
      <w:pPr>
        <w:pStyle w:val="13"/>
        <w:wordWrap/>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p>
    <w:p>
      <w:pPr>
        <w:wordWrap/>
        <w:jc w:val="both"/>
        <w:rPr>
          <w:color w:val="auto"/>
          <w:highlight w:val="none"/>
        </w:rPr>
      </w:pPr>
    </w:p>
    <w:p>
      <w:pPr>
        <w:pStyle w:val="13"/>
        <w:wordWrap/>
        <w:adjustRightInd w:val="0"/>
        <w:snapToGrid w:val="0"/>
        <w:spacing w:before="0" w:line="440" w:lineRule="exact"/>
        <w:jc w:val="both"/>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imes New Roman" w:hAnsi="Times New Roman" w:eastAsia="宋体" w:cs="Times New Roman"/>
          <w:color w:val="auto"/>
          <w:kern w:val="2"/>
          <w:sz w:val="24"/>
          <w:szCs w:val="24"/>
          <w:highlight w:val="none"/>
          <w:lang w:val="en-US" w:eastAsia="zh-CN" w:bidi="ar-SA"/>
        </w:rPr>
        <w:t>.........................................................................................4</w:t>
      </w:r>
    </w:p>
    <w:p>
      <w:pPr>
        <w:pStyle w:val="14"/>
        <w:wordWrap/>
        <w:adjustRightInd w:val="0"/>
        <w:snapToGrid w:val="0"/>
        <w:spacing w:line="440" w:lineRule="exact"/>
        <w:jc w:val="both"/>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............................................................................................4</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二、机构设置</w:t>
      </w:r>
      <w:r>
        <w:rPr>
          <w:rFonts w:hint="eastAsia"/>
          <w:color w:val="auto"/>
          <w:sz w:val="24"/>
          <w:highlight w:val="none"/>
          <w:lang w:val="en-US" w:eastAsia="zh-CN"/>
        </w:rPr>
        <w:t>............................................................................................7</w:t>
      </w:r>
    </w:p>
    <w:p>
      <w:pPr>
        <w:pStyle w:val="13"/>
        <w:wordWrap/>
        <w:adjustRightInd w:val="0"/>
        <w:snapToGrid w:val="0"/>
        <w:spacing w:before="0" w:line="440" w:lineRule="exact"/>
        <w:jc w:val="both"/>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......................................................8</w:t>
      </w:r>
    </w:p>
    <w:p>
      <w:pPr>
        <w:pStyle w:val="14"/>
        <w:wordWrap/>
        <w:adjustRightInd w:val="0"/>
        <w:snapToGrid w:val="0"/>
        <w:spacing w:line="440" w:lineRule="exact"/>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一、收入支出决算总体情况说明..........................................</w:t>
      </w:r>
      <w:r>
        <w:rPr>
          <w:rFonts w:hint="eastAsia" w:cs="Times New Roman"/>
          <w:color w:val="auto"/>
          <w:kern w:val="2"/>
          <w:sz w:val="24"/>
          <w:szCs w:val="24"/>
          <w:highlight w:val="none"/>
          <w:lang w:val="en-US" w:eastAsia="zh-CN" w:bidi="ar-SA"/>
        </w:rPr>
        <w:t>..................8</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二、收入决算情况说明</w:t>
      </w:r>
      <w:r>
        <w:rPr>
          <w:rFonts w:hint="eastAsia"/>
          <w:color w:val="auto"/>
          <w:sz w:val="24"/>
          <w:highlight w:val="none"/>
          <w:lang w:val="en-US" w:eastAsia="zh-CN"/>
        </w:rPr>
        <w:t>............................................................................8</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三、支出决算情况说明</w:t>
      </w:r>
      <w:r>
        <w:rPr>
          <w:rFonts w:hint="eastAsia"/>
          <w:color w:val="auto"/>
          <w:sz w:val="24"/>
          <w:highlight w:val="none"/>
          <w:lang w:val="en-US" w:eastAsia="zh-CN"/>
        </w:rPr>
        <w:t>............................................................................9</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四、财政拨款收入支出决算总体情况说明</w:t>
      </w:r>
      <w:r>
        <w:rPr>
          <w:rFonts w:hint="eastAsia"/>
          <w:color w:val="auto"/>
          <w:sz w:val="24"/>
          <w:highlight w:val="none"/>
          <w:lang w:val="en-US" w:eastAsia="zh-CN"/>
        </w:rPr>
        <w:t>............................................9</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五、一般公共预算财政拨款支出决算情况说明</w:t>
      </w:r>
      <w:r>
        <w:rPr>
          <w:rFonts w:hint="eastAsia"/>
          <w:color w:val="auto"/>
          <w:sz w:val="24"/>
          <w:highlight w:val="none"/>
          <w:lang w:val="en-US" w:eastAsia="zh-CN"/>
        </w:rPr>
        <w:t>...................................10</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六、一般公共预算财政拨款基本支出决算情况说明</w:t>
      </w:r>
      <w:r>
        <w:rPr>
          <w:rFonts w:hint="eastAsia"/>
          <w:color w:val="auto"/>
          <w:sz w:val="24"/>
          <w:highlight w:val="none"/>
          <w:lang w:val="en-US" w:eastAsia="zh-CN"/>
        </w:rPr>
        <w:t>...........................13</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...................................14</w:t>
      </w:r>
    </w:p>
    <w:p>
      <w:pPr>
        <w:pStyle w:val="14"/>
        <w:wordWrap/>
        <w:adjustRightInd w:val="0"/>
        <w:snapToGrid w:val="0"/>
        <w:spacing w:line="440" w:lineRule="exact"/>
        <w:jc w:val="both"/>
        <w:rPr>
          <w:rFonts w:ascii="仿宋" w:hAnsi="仿宋" w:eastAsia="仿宋" w:cs="黑体"/>
          <w:color w:val="auto"/>
          <w:sz w:val="24"/>
          <w:highlight w:val="none"/>
        </w:rPr>
      </w:pPr>
      <w:r>
        <w:rPr>
          <w:rFonts w:hint="eastAsia"/>
          <w:color w:val="auto"/>
          <w:sz w:val="24"/>
          <w:highlight w:val="none"/>
        </w:rPr>
        <w:t>八、政府性基金预算支出决算情况说明</w:t>
      </w:r>
      <w:r>
        <w:rPr>
          <w:rFonts w:hint="eastAsia"/>
          <w:color w:val="auto"/>
          <w:sz w:val="24"/>
          <w:highlight w:val="none"/>
          <w:lang w:val="en-US" w:eastAsia="zh-CN"/>
        </w:rPr>
        <w:t>...............................................16</w:t>
      </w:r>
    </w:p>
    <w:p>
      <w:pPr>
        <w:pStyle w:val="14"/>
        <w:wordWrap/>
        <w:adjustRightInd w:val="0"/>
        <w:snapToGrid w:val="0"/>
        <w:spacing w:line="440" w:lineRule="exact"/>
        <w:ind w:lef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r>
        <w:rPr>
          <w:rFonts w:hint="eastAsia"/>
          <w:color w:val="auto"/>
          <w:sz w:val="24"/>
          <w:highlight w:val="none"/>
          <w:lang w:val="en-US" w:eastAsia="zh-CN"/>
        </w:rPr>
        <w:t>...........................................16</w:t>
      </w:r>
    </w:p>
    <w:p>
      <w:pPr>
        <w:widowControl w:val="0"/>
        <w:wordWrap/>
        <w:adjustRightInd w:val="0"/>
        <w:snapToGrid w:val="0"/>
        <w:spacing w:line="440" w:lineRule="exact"/>
        <w:ind w:left="0" w:leftChars="0" w:firstLine="420" w:firstLineChars="175"/>
        <w:jc w:val="both"/>
        <w:textAlignment w:val="auto"/>
        <w:rPr>
          <w:rFonts w:hint="eastAsia" w:ascii="宋体" w:hAnsi="宋体" w:eastAsia="宋体" w:cs="宋体"/>
          <w:color w:val="auto"/>
          <w:sz w:val="24"/>
          <w:highlight w:val="none"/>
        </w:rPr>
      </w:pPr>
      <w:r>
        <w:rPr>
          <w:rStyle w:val="18"/>
          <w:rFonts w:hint="eastAsia" w:ascii="宋体" w:hAnsi="宋体" w:eastAsia="宋体" w:cs="宋体"/>
          <w:color w:val="auto"/>
          <w:sz w:val="24"/>
          <w:highlight w:val="none"/>
          <w:u w:val="none"/>
          <w:lang w:eastAsia="zh-CN"/>
        </w:rPr>
        <w:t>十</w:t>
      </w:r>
      <w:r>
        <w:rPr>
          <w:rStyle w:val="18"/>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color w:val="auto"/>
          <w:sz w:val="24"/>
          <w:highlight w:val="none"/>
          <w:lang w:val="en-US" w:eastAsia="zh-CN"/>
        </w:rPr>
        <w:t>...............................................................16</w:t>
      </w:r>
    </w:p>
    <w:p>
      <w:pPr>
        <w:pStyle w:val="13"/>
        <w:wordWrap/>
        <w:adjustRightInd w:val="0"/>
        <w:snapToGrid w:val="0"/>
        <w:spacing w:before="0" w:line="440" w:lineRule="exact"/>
        <w:jc w:val="both"/>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........................................................................................18</w:t>
      </w:r>
    </w:p>
    <w:p>
      <w:pPr>
        <w:pStyle w:val="13"/>
        <w:wordWrap/>
        <w:adjustRightInd w:val="0"/>
        <w:snapToGrid w:val="0"/>
        <w:spacing w:before="0" w:line="440" w:lineRule="exact"/>
        <w:jc w:val="both"/>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................................................................................................21</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20</w:t>
      </w:r>
      <w:r>
        <w:rPr>
          <w:rFonts w:hint="eastAsia"/>
          <w:color w:val="auto"/>
          <w:sz w:val="24"/>
          <w:highlight w:val="none"/>
          <w:lang w:val="en-US" w:eastAsia="zh-CN"/>
        </w:rPr>
        <w:t>22</w:t>
      </w:r>
      <w:r>
        <w:rPr>
          <w:rFonts w:hint="eastAsia"/>
          <w:color w:val="auto"/>
          <w:sz w:val="24"/>
          <w:highlight w:val="none"/>
        </w:rPr>
        <w:t>年</w:t>
      </w:r>
      <w:r>
        <w:rPr>
          <w:rFonts w:hint="eastAsia"/>
          <w:color w:val="auto"/>
          <w:sz w:val="24"/>
          <w:highlight w:val="none"/>
          <w:lang w:val="en-US" w:eastAsia="zh-CN"/>
        </w:rPr>
        <w:t>泸县审计局</w:t>
      </w:r>
      <w:r>
        <w:rPr>
          <w:rFonts w:hint="eastAsia"/>
          <w:color w:val="auto"/>
          <w:sz w:val="24"/>
          <w:highlight w:val="none"/>
        </w:rPr>
        <w:t>部门整体绩效评价报告</w:t>
      </w:r>
      <w:r>
        <w:rPr>
          <w:rFonts w:hint="eastAsia"/>
          <w:color w:val="auto"/>
          <w:sz w:val="24"/>
          <w:highlight w:val="none"/>
          <w:lang w:val="en-US" w:eastAsia="zh-CN"/>
        </w:rPr>
        <w:t>..........................................21</w:t>
      </w:r>
    </w:p>
    <w:p>
      <w:pPr>
        <w:pStyle w:val="14"/>
        <w:wordWrap/>
        <w:adjustRightInd w:val="0"/>
        <w:snapToGrid w:val="0"/>
        <w:spacing w:line="440" w:lineRule="exact"/>
        <w:jc w:val="both"/>
        <w:rPr>
          <w:rFonts w:hint="eastAsia"/>
          <w:color w:val="auto"/>
          <w:sz w:val="24"/>
          <w:highlight w:val="none"/>
          <w:lang w:val="en-US" w:eastAsia="zh-CN"/>
        </w:rPr>
      </w:pPr>
      <w:r>
        <w:rPr>
          <w:rFonts w:hint="eastAsia"/>
          <w:color w:val="auto"/>
          <w:sz w:val="24"/>
          <w:highlight w:val="none"/>
          <w:lang w:val="en-US" w:eastAsia="zh-CN"/>
        </w:rPr>
        <w:t>2022年固定资产投资审计专项资金预算项目绩效自评报告..............30</w:t>
      </w:r>
    </w:p>
    <w:p>
      <w:pPr>
        <w:pStyle w:val="14"/>
        <w:wordWrap/>
        <w:adjustRightInd w:val="0"/>
        <w:snapToGrid w:val="0"/>
        <w:spacing w:line="440" w:lineRule="exact"/>
        <w:jc w:val="both"/>
        <w:rPr>
          <w:rFonts w:hint="eastAsia"/>
          <w:color w:val="auto"/>
          <w:sz w:val="24"/>
          <w:highlight w:val="none"/>
          <w:lang w:val="zh-CN"/>
        </w:rPr>
      </w:pPr>
      <w:r>
        <w:rPr>
          <w:rFonts w:hint="eastAsia"/>
          <w:color w:val="auto"/>
          <w:sz w:val="24"/>
          <w:highlight w:val="none"/>
        </w:rPr>
        <w:t>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eastAsia="zh-CN"/>
        </w:rPr>
        <w:t>审计外勤</w:t>
      </w:r>
      <w:r>
        <w:rPr>
          <w:rFonts w:hint="eastAsia"/>
          <w:color w:val="auto"/>
          <w:sz w:val="24"/>
          <w:highlight w:val="none"/>
          <w:lang w:val="zh-CN"/>
        </w:rPr>
        <w:t>专项预算项目支出绩效自评报告</w:t>
      </w:r>
      <w:r>
        <w:rPr>
          <w:rFonts w:hint="eastAsia"/>
          <w:color w:val="auto"/>
          <w:sz w:val="24"/>
          <w:highlight w:val="none"/>
          <w:lang w:val="en-US" w:eastAsia="zh-CN"/>
        </w:rPr>
        <w:t>..............................35</w:t>
      </w:r>
    </w:p>
    <w:p>
      <w:pPr>
        <w:pStyle w:val="14"/>
        <w:wordWrap/>
        <w:adjustRightInd w:val="0"/>
        <w:snapToGrid w:val="0"/>
        <w:spacing w:line="440" w:lineRule="exact"/>
        <w:jc w:val="both"/>
        <w:rPr>
          <w:rFonts w:hint="eastAsia"/>
          <w:color w:val="auto"/>
          <w:sz w:val="24"/>
          <w:highlight w:val="none"/>
          <w:lang w:val="zh-CN"/>
        </w:rPr>
      </w:pPr>
      <w:r>
        <w:rPr>
          <w:rFonts w:hint="eastAsia"/>
          <w:color w:val="auto"/>
          <w:sz w:val="24"/>
          <w:highlight w:val="none"/>
        </w:rPr>
        <w:t>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eastAsia="zh-CN"/>
        </w:rPr>
        <w:t>其他运转支出</w:t>
      </w:r>
      <w:r>
        <w:rPr>
          <w:rFonts w:hint="eastAsia"/>
          <w:color w:val="auto"/>
          <w:sz w:val="24"/>
          <w:highlight w:val="none"/>
          <w:lang w:val="zh-CN"/>
        </w:rPr>
        <w:t>专项预算项目支出绩效自评报告</w:t>
      </w:r>
      <w:r>
        <w:rPr>
          <w:rFonts w:hint="eastAsia"/>
          <w:color w:val="auto"/>
          <w:sz w:val="24"/>
          <w:highlight w:val="none"/>
          <w:lang w:val="en-US" w:eastAsia="zh-CN"/>
        </w:rPr>
        <w:t>......................40</w:t>
      </w:r>
    </w:p>
    <w:p>
      <w:pPr>
        <w:pStyle w:val="13"/>
        <w:wordWrap/>
        <w:adjustRightInd w:val="0"/>
        <w:snapToGrid w:val="0"/>
        <w:spacing w:before="0" w:line="440" w:lineRule="exact"/>
        <w:jc w:val="both"/>
        <w:rPr>
          <w:rFonts w:cs="黑体"/>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一、收入支出决算总表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二、收入决算表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三、支出决算表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四、财政拨款收入支出决算总表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五、财政拨款支出决算明细表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六、一般公共预算财政拨款支出决算表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七、一般公共预算财政拨款支出决算明细表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八、一般公共预算财政拨款基本支出决算表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九、一般公共预算财政拨款项目支出决算表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lang w:eastAsia="zh-CN"/>
        </w:rPr>
        <w:t>十、</w:t>
      </w:r>
      <w:r>
        <w:rPr>
          <w:rFonts w:hint="eastAsia"/>
          <w:color w:val="auto"/>
          <w:sz w:val="24"/>
          <w:highlight w:val="none"/>
        </w:rPr>
        <w:t>一般公共预算财政拨款“三公”经费支出决算表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十一、政府性基金预算财政拨款收入支出决算表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政府性基金预算财政拨款“三公”经费支出决算表...............45</w:t>
      </w:r>
    </w:p>
    <w:p>
      <w:pPr>
        <w:pStyle w:val="14"/>
        <w:wordWrap/>
        <w:adjustRightInd w:val="0"/>
        <w:snapToGrid w:val="0"/>
        <w:spacing w:line="440" w:lineRule="exact"/>
        <w:jc w:val="both"/>
        <w:rPr>
          <w:rFonts w:hint="eastAsia"/>
          <w:color w:val="auto"/>
          <w:sz w:val="24"/>
          <w:highlight w:val="none"/>
          <w:lang w:eastAsia="zh-CN"/>
        </w:rPr>
      </w:pPr>
      <w:r>
        <w:rPr>
          <w:rFonts w:hint="eastAsia"/>
          <w:color w:val="auto"/>
          <w:sz w:val="24"/>
          <w:highlight w:val="none"/>
          <w:lang w:eastAsia="zh-CN"/>
        </w:rPr>
        <w:t>十三、国有资本经营预算财政拨款收入支出决算表</w:t>
      </w:r>
      <w:r>
        <w:rPr>
          <w:rFonts w:hint="eastAsia"/>
          <w:color w:val="auto"/>
          <w:sz w:val="24"/>
          <w:highlight w:val="none"/>
          <w:lang w:val="en-US" w:eastAsia="zh-CN"/>
        </w:rPr>
        <w:t>...........................45</w:t>
      </w:r>
    </w:p>
    <w:p>
      <w:pPr>
        <w:pStyle w:val="14"/>
        <w:wordWrap/>
        <w:adjustRightInd w:val="0"/>
        <w:snapToGrid w:val="0"/>
        <w:spacing w:line="440" w:lineRule="exact"/>
        <w:jc w:val="both"/>
        <w:rPr>
          <w:rFonts w:hint="eastAsia"/>
          <w:color w:val="auto"/>
          <w:sz w:val="24"/>
          <w:highlight w:val="none"/>
          <w:lang w:val="en-US" w:eastAsia="zh-CN"/>
        </w:rPr>
      </w:pPr>
      <w:r>
        <w:rPr>
          <w:rFonts w:hint="eastAsia"/>
          <w:color w:val="auto"/>
          <w:sz w:val="24"/>
          <w:highlight w:val="none"/>
          <w:lang w:val="en-US" w:eastAsia="zh-CN"/>
        </w:rPr>
        <w:t>十四、国有资本经营预算财政拨款支出决算表...................................45</w:t>
      </w:r>
    </w:p>
    <w:p>
      <w:pPr>
        <w:pStyle w:val="14"/>
        <w:wordWrap/>
        <w:adjustRightInd w:val="0"/>
        <w:snapToGrid w:val="0"/>
        <w:spacing w:line="440" w:lineRule="exact"/>
        <w:jc w:val="both"/>
        <w:rPr>
          <w:rFonts w:hint="eastAsia"/>
          <w:color w:val="auto"/>
          <w:sz w:val="24"/>
          <w:highlight w:val="none"/>
          <w:lang w:val="en-US" w:eastAsia="zh-CN"/>
        </w:rPr>
      </w:pPr>
    </w:p>
    <w:p>
      <w:pPr>
        <w:widowControl/>
        <w:wordWrap/>
        <w:spacing w:line="440" w:lineRule="exact"/>
        <w:jc w:val="both"/>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wordWrap/>
        <w:jc w:val="center"/>
        <w:rPr>
          <w:rStyle w:val="31"/>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1"/>
          <w:rFonts w:hint="eastAsia" w:ascii="黑体" w:hAnsi="黑体" w:eastAsia="黑体"/>
          <w:b w:val="0"/>
          <w:bCs w:val="0"/>
          <w:color w:val="auto"/>
          <w:highlight w:val="none"/>
        </w:rPr>
        <w:t>部门概况</w:t>
      </w:r>
      <w:bookmarkEnd w:id="12"/>
      <w:bookmarkEnd w:id="13"/>
    </w:p>
    <w:p>
      <w:pPr>
        <w:widowControl/>
        <w:wordWrap/>
        <w:jc w:val="both"/>
        <w:rPr>
          <w:rFonts w:ascii="黑体" w:eastAsia="黑体"/>
          <w:color w:val="auto"/>
          <w:sz w:val="32"/>
          <w:szCs w:val="32"/>
          <w:highlight w:val="none"/>
        </w:rPr>
      </w:pPr>
    </w:p>
    <w:p>
      <w:pPr>
        <w:pStyle w:val="3"/>
        <w:numPr>
          <w:ilvl w:val="0"/>
          <w:numId w:val="1"/>
        </w:numPr>
        <w:wordWrap/>
        <w:jc w:val="both"/>
        <w:rPr>
          <w:rFonts w:hint="eastAsia"/>
          <w:lang w:eastAsia="zh-CN"/>
        </w:rPr>
      </w:pPr>
      <w:r>
        <w:rPr>
          <w:rFonts w:hint="eastAsia" w:ascii="黑体" w:hAnsi="黑体" w:eastAsia="黑体"/>
          <w:b w:val="0"/>
          <w:color w:val="auto"/>
          <w:highlight w:val="none"/>
          <w:lang w:eastAsia="zh-CN"/>
        </w:rPr>
        <w:t>部门职责</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接受县委审计委员会的直接领导，承担县委审计委员会具体工作，研究提出审计领域坚持党的领导、加强党的建设的具体措施建议，贯彻落实审计工作战略、规划、政策和改革方案，协调推进和督促落实县委和县委审计委员会的决策部署，研究提出年度审计项目计划。贯彻执行国家有关审计工作的方针政策和法律法规。参与制定有审计内容的地方规范性文件，并监督执行。负责本部门依法行政工作，落实行政执法责任制，制定并组织实施年度审计计划，组织对全县性重大投资项目、重大突发性公共事项、重要专项资金及国家、省、市、县重大政策措施执行情况的审计和专项审计调查，对直接审计、审计调查和核查的事项依法进行审计评价，作出审计决定或提出审计建议。</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2.负责对县级财政收支和法律法规规定属</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审计监督范围的财务收支的真实、合法和效益进行审计监督，维护国家财经秩序，提高财政资金使用效益，促进廉政建设，保障国民经济和社会健康发展，对审计、专项审计调查和核查社会审计机构相关审计报告的结果承担责任并负有督促被审计单位整改的责任。</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县长提出县级预算执行和其他财政收支情况的审计结果报告，受县政府委托向县人大提出县级预算执行和其他财政收支情况的审计工作报各告、审计发现问题的纠正和处理结果报告，向政府报告对其他事项的审计和专项审计调查情况及结果，依法向社会公布审计结果，向县政府有关部门和乡镇人民政府通报审计情况和审计结果，提出制定和完善有关政策、规定、宏观调控的建议。</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4.直接审计下列事项，出具审计报告，在法定职权范围内作出审计决定或向有关主管机关提出处理处罚的建议：</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（1）县级财政预算执行情况和其他财政收支，县级各部门（含直属单位）预算的执行情况、决算和其他财政收支。</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（2）乡镇人民政府预算的执行情况、决算以及其他财政收支、县级财政转移支付资金。</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（3）使用县级财政资金的事业单位及直属单位和社会团体的财务收支。</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（4）县政府投资和以县政府投资为主的建设项目预算执行情况和决算，国家重点建设项目概（预）算、决算和县级重大工程资金筹集、使用情况。</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（5）县属国有企业和地方金融机构、县级国有资本占控股或主导地位的企业和金融机构的资产、负债和损益。</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（6）县政府部门以及其他单位受县政府及其部门委托管理的社会保障基金、社会捐赠资金以及其他有关基金、资金的财务收支。</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（7）国际组织和外国政府在泸县援助、贷款项目的财务收支。</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（8）法律、行政法规和地方性法规、政府规章规定应由县审计局审计的其他事项。</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5.按规定对县级以下领导干部及依法属县审计局审计监督的其他单位主要负责人实施经济责任审计</w:t>
      </w:r>
      <w:r>
        <w:rPr>
          <w:rFonts w:hint="eastAsia" w:ascii="仿宋_GB2312" w:hAnsi="仿宋_GB2312" w:eastAsia="仿宋_GB2312" w:cs="仿宋_GB2312"/>
          <w:color w:val="auto"/>
          <w:sz w:val="32"/>
          <w:szCs w:val="32"/>
          <w:lang w:eastAsia="zh-CN"/>
        </w:rPr>
        <w:t>及自然资源资产离任审计</w:t>
      </w:r>
      <w:r>
        <w:rPr>
          <w:rFonts w:hint="eastAsia" w:ascii="仿宋_GB2312" w:hAnsi="仿宋_GB2312" w:eastAsia="仿宋_GB2312" w:cs="仿宋_GB2312"/>
          <w:color w:val="auto"/>
          <w:sz w:val="32"/>
          <w:szCs w:val="32"/>
        </w:rPr>
        <w:t>。</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6.组织实施对国家财经法律、法规、规章、政策和宏观调控措施执行情况、财政预算管理或国有资产管理使用等与县级财政收支有关的特定事项进行专项审计调查。</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7.依法检查审计决定执行情况，督促纠正和处理审计发现的问题，依法办理被审计单位对审计决定提请行政复议、行政诉讼或县政府裁决中的有关事项，协助配合有关部门查处相关重大案件。</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8.指导和监督内部审计工作，核查社会审计机构对依法属审计监督对象的单位出具的相关审计报告。</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9.履行廉政建设职责，执行廉政建设责任制的各项规定。明晰职权，防控廉政风险，建立行政权力公开透明的运行机制，推行廉政建设的标准化、规范化、制度化。</w:t>
      </w:r>
    </w:p>
    <w:p>
      <w:pPr>
        <w:widowControl w:val="0"/>
        <w:wordWrap/>
        <w:spacing w:before="0" w:after="0" w:line="240" w:lineRule="auto"/>
        <w:ind w:left="0" w:leftChars="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10.承办县政府交办的其他事项。</w:t>
      </w:r>
    </w:p>
    <w:p>
      <w:pPr>
        <w:wordWrap/>
        <w:jc w:val="both"/>
        <w:rPr>
          <w:rFonts w:hint="eastAsia"/>
          <w:lang w:eastAsia="zh-CN"/>
        </w:rPr>
      </w:pPr>
    </w:p>
    <w:p>
      <w:pPr>
        <w:pStyle w:val="3"/>
        <w:wordWrap/>
        <w:jc w:val="both"/>
        <w:rPr>
          <w:rStyle w:val="32"/>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14"/>
      <w:bookmarkEnd w:id="15"/>
    </w:p>
    <w:p>
      <w:pPr>
        <w:widowControl/>
        <w:wordWrap/>
        <w:jc w:val="both"/>
        <w:rPr>
          <w:rFonts w:ascii="仿宋" w:hAnsi="仿宋" w:eastAsia="仿宋"/>
          <w:color w:val="auto"/>
          <w:kern w:val="0"/>
          <w:sz w:val="32"/>
          <w:szCs w:val="32"/>
          <w:highlight w:val="none"/>
        </w:rPr>
      </w:pPr>
      <w:r>
        <w:rPr>
          <w:rFonts w:hint="eastAsia" w:ascii="仿宋_GB2312" w:hAnsi="仿宋_GB2312" w:eastAsia="仿宋_GB2312" w:cs="仿宋_GB2312"/>
          <w:b w:val="0"/>
          <w:bCs w:val="0"/>
          <w:color w:val="auto"/>
          <w:kern w:val="2"/>
          <w:sz w:val="32"/>
          <w:szCs w:val="32"/>
          <w:lang w:val="en-US" w:eastAsia="zh-CN" w:bidi="ar-SA"/>
        </w:rPr>
        <w:t xml:space="preserve">    泸县审计局下属二级事业单位1个，已纳入泸县审计局2022年度部门决算编制范围。</w:t>
      </w:r>
      <w:r>
        <w:rPr>
          <w:rFonts w:ascii="仿宋" w:hAnsi="仿宋" w:eastAsia="仿宋"/>
          <w:color w:val="auto"/>
          <w:sz w:val="32"/>
          <w:szCs w:val="32"/>
          <w:highlight w:val="none"/>
        </w:rPr>
        <w:br w:type="page"/>
      </w:r>
    </w:p>
    <w:p>
      <w:pPr>
        <w:pStyle w:val="2"/>
        <w:wordWrap/>
        <w:ind w:right="440"/>
        <w:jc w:val="center"/>
        <w:rPr>
          <w:rStyle w:val="31"/>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16"/>
      <w:bookmarkEnd w:id="17"/>
    </w:p>
    <w:p>
      <w:pPr>
        <w:wordWrap/>
        <w:jc w:val="both"/>
        <w:rPr>
          <w:color w:val="auto"/>
          <w:highlight w:val="none"/>
        </w:rPr>
      </w:pPr>
    </w:p>
    <w:p>
      <w:pPr>
        <w:pStyle w:val="21"/>
        <w:numPr>
          <w:ilvl w:val="0"/>
          <w:numId w:val="2"/>
        </w:numPr>
        <w:wordWrap/>
        <w:spacing w:line="600" w:lineRule="exact"/>
        <w:ind w:firstLineChars="0"/>
        <w:jc w:val="both"/>
        <w:outlineLvl w:val="1"/>
        <w:rPr>
          <w:rStyle w:val="32"/>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18"/>
      <w:bookmarkEnd w:id="19"/>
    </w:p>
    <w:p>
      <w:pPr>
        <w:widowControl w:val="0"/>
        <w:wordWrap/>
        <w:adjustRightInd/>
        <w:snapToGrid/>
        <w:spacing w:line="240" w:lineRule="auto"/>
        <w:ind w:firstLine="640" w:firstLineChars="200"/>
        <w:jc w:val="both"/>
        <w:textAlignment w:val="auto"/>
        <w:rPr>
          <w:rFonts w:hint="eastAsia" w:ascii="仿宋" w:hAnsi="仿宋" w:eastAsia="仿宋"/>
          <w:color w:val="auto"/>
          <w:sz w:val="32"/>
          <w:szCs w:val="32"/>
          <w:highlight w:val="none"/>
          <w:lang w:eastAsia="zh-CN"/>
        </w:rPr>
      </w:pPr>
      <w:r>
        <w:rPr>
          <w:rFonts w:hint="default" w:ascii="仿宋" w:hAnsi="仿宋" w:eastAsia="仿宋" w:cs="Times New Roman"/>
          <w:color w:val="auto"/>
          <w:kern w:val="2"/>
          <w:sz w:val="32"/>
          <w:szCs w:val="32"/>
          <w:highlight w:val="none"/>
          <w:lang w:val="en-US" w:eastAsia="zh-CN" w:bidi="ar-SA"/>
        </w:rPr>
        <w:pict>
          <v:shape id="Picture 2" type="#_x0000_t75" style="position:absolute;left:0;margin-left:24.15pt;margin-top:121.2pt;height:267.75pt;width:366.75pt;rotation:0f;z-index:251658240;" o:ole="t" fillcolor="#FFFFFF" filled="f" o:preferrelative="t" stroked="f" coordorigin="0,0" coordsize="21600,21600">
            <v:fill on="f" color2="#FFFFFF" focus="0%"/>
            <v:imagedata gain="65536f" blacklevel="0f" gamma="0" o:title="olechartimg_1696921006119825_568076288" r:id="rId8"/>
            <o:lock v:ext="edit" position="f" selection="f" grouping="f" rotation="f" cropping="f" text="f" aspectratio="t"/>
          </v:shape>
          <o:OLEObject Type="Embed" ProgID="Excel.Sheet.8" ShapeID="Picture 2" DrawAspect="Content" ObjectID="_1" r:id="rId7"/>
        </w:pic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1109.04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183.70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olor w:val="auto"/>
          <w:sz w:val="32"/>
          <w:szCs w:val="32"/>
          <w:lang w:eastAsia="zh-CN"/>
        </w:rPr>
        <w:t>政府投资审计“三个转变”费用、</w:t>
      </w:r>
      <w:r>
        <w:rPr>
          <w:rFonts w:hint="eastAsia" w:ascii="仿宋_GB2312" w:hAnsi="仿宋" w:eastAsia="仿宋_GB2312"/>
          <w:color w:val="auto"/>
          <w:sz w:val="32"/>
          <w:szCs w:val="32"/>
        </w:rPr>
        <w:t>增人增资</w:t>
      </w:r>
      <w:r>
        <w:rPr>
          <w:rFonts w:hint="eastAsia" w:ascii="仿宋_GB2312" w:hAnsi="仿宋" w:eastAsia="仿宋_GB2312"/>
          <w:color w:val="auto"/>
          <w:sz w:val="32"/>
          <w:szCs w:val="32"/>
          <w:lang w:eastAsia="zh-CN"/>
        </w:rPr>
        <w:t>等费用的增加</w:t>
      </w:r>
      <w:r>
        <w:rPr>
          <w:rFonts w:hint="eastAsia" w:ascii="仿宋" w:hAnsi="仿宋" w:eastAsia="仿宋"/>
          <w:color w:val="auto"/>
          <w:sz w:val="32"/>
          <w:szCs w:val="32"/>
          <w:highlight w:val="none"/>
          <w:lang w:eastAsia="zh-CN"/>
        </w:rPr>
        <w:t>。</w:t>
      </w:r>
    </w:p>
    <w:p>
      <w:pPr>
        <w:wordWrap/>
        <w:spacing w:line="600" w:lineRule="exact"/>
        <w:jc w:val="both"/>
        <w:rPr>
          <w:rFonts w:hint="default" w:ascii="仿宋" w:hAnsi="仿宋" w:eastAsia="仿宋"/>
          <w:color w:val="auto"/>
          <w:sz w:val="32"/>
          <w:szCs w:val="32"/>
          <w:highlight w:val="none"/>
          <w:lang w:eastAsia="zh-CN"/>
        </w:rPr>
      </w:pPr>
    </w:p>
    <w:p>
      <w:pPr>
        <w:widowControl w:val="0"/>
        <w:wordWrap/>
        <w:adjustRightInd/>
        <w:snapToGrid/>
        <w:spacing w:line="240" w:lineRule="auto"/>
        <w:jc w:val="both"/>
        <w:textAlignment w:val="auto"/>
        <w:rPr>
          <w:rFonts w:hint="eastAsia" w:ascii="仿宋" w:hAnsi="仿宋" w:eastAsia="仿宋"/>
          <w:color w:val="auto"/>
          <w:sz w:val="32"/>
          <w:szCs w:val="32"/>
          <w:highlight w:val="none"/>
          <w:lang w:eastAsia="zh-CN"/>
        </w:rPr>
      </w:pPr>
    </w:p>
    <w:p>
      <w:pPr>
        <w:pStyle w:val="5"/>
        <w:wordWrap/>
        <w:jc w:val="both"/>
        <w:rPr>
          <w:rFonts w:hint="eastAsia" w:ascii="仿宋" w:hAnsi="仿宋" w:eastAsia="仿宋"/>
          <w:color w:val="auto"/>
          <w:sz w:val="32"/>
          <w:szCs w:val="32"/>
          <w:highlight w:val="none"/>
          <w:lang w:eastAsia="zh-CN"/>
        </w:rPr>
      </w:pPr>
    </w:p>
    <w:p>
      <w:pPr>
        <w:wordWrap/>
        <w:jc w:val="both"/>
        <w:rPr>
          <w:rFonts w:hint="eastAsia" w:ascii="仿宋" w:hAnsi="仿宋" w:eastAsia="仿宋"/>
          <w:color w:val="auto"/>
          <w:sz w:val="32"/>
          <w:szCs w:val="32"/>
          <w:highlight w:val="none"/>
          <w:lang w:eastAsia="zh-CN"/>
        </w:rPr>
      </w:pPr>
    </w:p>
    <w:p>
      <w:pPr>
        <w:pStyle w:val="5"/>
        <w:wordWrap/>
        <w:jc w:val="both"/>
        <w:rPr>
          <w:rFonts w:hint="eastAsia" w:ascii="仿宋" w:hAnsi="仿宋" w:eastAsia="仿宋"/>
          <w:color w:val="auto"/>
          <w:sz w:val="32"/>
          <w:szCs w:val="32"/>
          <w:highlight w:val="none"/>
          <w:lang w:eastAsia="zh-CN"/>
        </w:rPr>
      </w:pPr>
    </w:p>
    <w:p>
      <w:pPr>
        <w:wordWrap/>
        <w:jc w:val="both"/>
        <w:rPr>
          <w:rFonts w:hint="eastAsia" w:ascii="仿宋" w:hAnsi="仿宋" w:eastAsia="仿宋"/>
          <w:color w:val="auto"/>
          <w:sz w:val="32"/>
          <w:szCs w:val="32"/>
          <w:highlight w:val="none"/>
          <w:lang w:eastAsia="zh-CN"/>
        </w:rPr>
      </w:pPr>
    </w:p>
    <w:p>
      <w:pPr>
        <w:pStyle w:val="5"/>
        <w:wordWrap/>
        <w:jc w:val="both"/>
        <w:rPr>
          <w:rFonts w:hint="eastAsia" w:ascii="仿宋" w:hAnsi="仿宋" w:eastAsia="仿宋"/>
          <w:color w:val="auto"/>
          <w:sz w:val="32"/>
          <w:szCs w:val="32"/>
          <w:highlight w:val="none"/>
          <w:lang w:eastAsia="zh-CN"/>
        </w:rPr>
      </w:pPr>
    </w:p>
    <w:p>
      <w:pPr>
        <w:wordWrap/>
        <w:spacing w:line="600" w:lineRule="exact"/>
        <w:jc w:val="both"/>
        <w:rPr>
          <w:rFonts w:hint="eastAsia" w:ascii="仿宋" w:hAnsi="仿宋" w:eastAsia="仿宋"/>
          <w:color w:val="FF0000"/>
          <w:sz w:val="32"/>
          <w:szCs w:val="32"/>
          <w:highlight w:val="none"/>
        </w:rPr>
      </w:pPr>
    </w:p>
    <w:p>
      <w:pPr>
        <w:pStyle w:val="5"/>
        <w:wordWrap/>
        <w:jc w:val="both"/>
        <w:rPr>
          <w:rFonts w:hint="eastAsia"/>
        </w:rPr>
      </w:pPr>
    </w:p>
    <w:p>
      <w:pPr>
        <w:pStyle w:val="21"/>
        <w:numPr>
          <w:ilvl w:val="0"/>
          <w:numId w:val="2"/>
        </w:numPr>
        <w:wordWrap/>
        <w:spacing w:line="600" w:lineRule="exact"/>
        <w:ind w:firstLineChars="0"/>
        <w:jc w:val="both"/>
        <w:outlineLvl w:val="1"/>
        <w:rPr>
          <w:rStyle w:val="32"/>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20"/>
      <w:bookmarkEnd w:id="21"/>
    </w:p>
    <w:p>
      <w:pPr>
        <w:wordWrap/>
        <w:spacing w:line="240" w:lineRule="auto"/>
        <w:ind w:firstLine="640" w:firstLineChars="200"/>
        <w:jc w:val="both"/>
        <w:outlineLvl w:val="1"/>
        <w:rPr>
          <w:rFonts w:hint="eastAsia" w:ascii="仿宋_GB2312" w:hAnsi="仿宋_GB2312" w:eastAsia="仿宋_GB2312" w:cs="仿宋_GB2312"/>
          <w:color w:val="auto"/>
          <w:sz w:val="32"/>
          <w:szCs w:val="3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1087.08</w:t>
      </w:r>
      <w:r>
        <w:rPr>
          <w:rFonts w:hint="eastAsia" w:ascii="仿宋" w:hAnsi="仿宋" w:eastAsia="仿宋"/>
          <w:color w:val="auto"/>
          <w:sz w:val="32"/>
          <w:szCs w:val="32"/>
          <w:highlight w:val="none"/>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一般公共预算财政拨款收入</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lang w:eastAsia="zh-CN"/>
        </w:rPr>
        <w:t>年初结转和结余</w:t>
      </w:r>
      <w:r>
        <w:rPr>
          <w:rFonts w:hint="eastAsia" w:ascii="仿宋_GB2312" w:hAnsi="仿宋_GB2312" w:eastAsia="仿宋_GB2312" w:cs="仿宋_GB2312"/>
          <w:color w:val="auto"/>
          <w:sz w:val="32"/>
          <w:szCs w:val="32"/>
          <w:lang w:val="en-US" w:eastAsia="zh-CN"/>
        </w:rPr>
        <w:t>21.96</w:t>
      </w:r>
      <w:r>
        <w:rPr>
          <w:rFonts w:hint="eastAsia" w:ascii="仿宋_GB2312" w:hAnsi="仿宋_GB2312" w:eastAsia="仿宋_GB2312" w:cs="仿宋_GB2312"/>
          <w:color w:val="auto"/>
          <w:sz w:val="32"/>
          <w:szCs w:val="32"/>
          <w:lang w:eastAsia="zh-CN"/>
        </w:rPr>
        <w:t>万元。两项总计</w:t>
      </w:r>
      <w:r>
        <w:rPr>
          <w:rFonts w:hint="eastAsia" w:ascii="仿宋_GB2312" w:hAnsi="仿宋_GB2312" w:eastAsia="仿宋_GB2312" w:cs="仿宋_GB2312"/>
          <w:color w:val="auto"/>
          <w:sz w:val="32"/>
          <w:szCs w:val="32"/>
          <w:lang w:val="en-US" w:eastAsia="zh-CN"/>
        </w:rPr>
        <w:t>1109.04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hint="default" w:ascii="仿宋" w:hAnsi="仿宋" w:eastAsia="仿宋"/>
          <w:color w:val="auto"/>
          <w:sz w:val="32"/>
          <w:szCs w:val="32"/>
          <w:highlight w:val="none"/>
        </w:rPr>
      </w:pPr>
    </w:p>
    <w:p>
      <w:pPr>
        <w:wordWrap/>
        <w:spacing w:line="600" w:lineRule="exact"/>
        <w:ind w:firstLine="640" w:firstLineChars="200"/>
        <w:jc w:val="both"/>
        <w:outlineLvl w:val="1"/>
        <w:rPr>
          <w:rFonts w:ascii="仿宋_GB2312" w:eastAsia="仿宋_GB2312"/>
          <w:color w:val="auto"/>
          <w:sz w:val="32"/>
          <w:szCs w:val="32"/>
          <w:highlight w:val="none"/>
        </w:rPr>
      </w:pPr>
      <w:r>
        <w:rPr>
          <w:rFonts w:hint="default" w:ascii="仿宋" w:hAnsi="仿宋" w:eastAsia="仿宋" w:cs="Times New Roman"/>
          <w:color w:val="auto"/>
          <w:kern w:val="2"/>
          <w:sz w:val="32"/>
          <w:szCs w:val="32"/>
          <w:highlight w:val="none"/>
          <w:lang w:val="en-US" w:eastAsia="zh-CN" w:bidi="ar-SA"/>
        </w:rPr>
        <w:pict>
          <v:shape id="Picture 3" type="#_x0000_t75" style="position:absolute;left:0;margin-left:32pt;margin-top:-243.75pt;height:267.75pt;width:366.75pt;rotation:0f;z-index:251659264;" o:ole="t" fillcolor="#FFFFFF" filled="f" o:preferrelative="t" stroked="f" coordorigin="0,0" coordsize="21600,21600">
            <v:fill on="f" color2="#FFFFFF" focus="0%"/>
            <v:imagedata gain="65536f" blacklevel="0f" gamma="0" o:title="olechartimg_1696921738652388_568076288" r:id="rId10"/>
            <o:lock v:ext="edit" position="f" selection="f" grouping="f" rotation="f" cropping="f" text="f" aspectratio="t"/>
          </v:shape>
          <o:OLEObject Type="Embed" ProgID="Excel.Sheet.8" ShapeID="Picture 3" DrawAspect="Content" ObjectID="_2" r:id="rId9"/>
        </w:pict>
      </w:r>
    </w:p>
    <w:p>
      <w:pPr>
        <w:pStyle w:val="21"/>
        <w:numPr>
          <w:ilvl w:val="0"/>
          <w:numId w:val="2"/>
        </w:numPr>
        <w:wordWrap/>
        <w:spacing w:line="600" w:lineRule="exact"/>
        <w:ind w:firstLineChars="0"/>
        <w:jc w:val="both"/>
        <w:outlineLvl w:val="1"/>
        <w:rPr>
          <w:rStyle w:val="32"/>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32"/>
          <w:rFonts w:hint="eastAsia" w:ascii="黑体" w:hAnsi="黑体" w:eastAsia="黑体"/>
          <w:b w:val="0"/>
          <w:color w:val="auto"/>
          <w:highlight w:val="none"/>
        </w:rPr>
        <w:t>出决算情况说明</w:t>
      </w:r>
      <w:bookmarkEnd w:id="22"/>
      <w:bookmarkEnd w:id="23"/>
    </w:p>
    <w:p>
      <w:pPr>
        <w:wordWrap/>
        <w:spacing w:line="600" w:lineRule="exact"/>
        <w:ind w:firstLine="640" w:firstLineChars="200"/>
        <w:jc w:val="both"/>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1109.04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601.74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54.26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507.3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45.74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widowControl w:val="0"/>
        <w:wordWrap/>
        <w:adjustRightInd/>
        <w:snapToGrid/>
        <w:spacing w:line="240" w:lineRule="auto"/>
        <w:ind w:firstLine="641"/>
        <w:jc w:val="both"/>
        <w:textAlignment w:val="auto"/>
        <w:rPr>
          <w:rFonts w:hint="default" w:ascii="仿宋" w:hAnsi="仿宋" w:eastAsia="仿宋"/>
          <w:color w:val="auto"/>
          <w:sz w:val="32"/>
          <w:szCs w:val="32"/>
          <w:highlight w:val="none"/>
          <w:shd w:val="pct10" w:color="auto" w:fill="FFFFFF"/>
        </w:rPr>
      </w:pPr>
      <w:r>
        <w:rPr>
          <w:rFonts w:hint="default" w:ascii="仿宋" w:hAnsi="仿宋" w:eastAsia="仿宋" w:cs="Times New Roman"/>
          <w:color w:val="auto"/>
          <w:kern w:val="2"/>
          <w:sz w:val="32"/>
          <w:szCs w:val="32"/>
          <w:highlight w:val="none"/>
          <w:shd w:val="pct10" w:color="auto" w:fill="FFFFFF"/>
          <w:lang w:val="en-US" w:eastAsia="zh-CN" w:bidi="ar-SA"/>
        </w:rPr>
        <w:object>
          <v:shape id="Picture 6" type="#_x0000_t75" style="height:267.75pt;width:366.75pt;rotation:0f;" o:ole="t" fillcolor="#FFFFFF" filled="f" o:preferrelative="t" stroked="f" coordorigin="0,0" coordsize="21600,21600">
            <v:fill on="f" color2="#FFFFFF" focus="0%"/>
            <v:imagedata gain="65536f" blacklevel="0f" gamma="0" o:title="olechartimg_1696923303998126_565949440" r:id="rId12"/>
            <o:lock v:ext="edit" position="f" selection="f" grouping="f" rotation="f" cropping="f" text="f" aspectratio="t"/>
            <w10:wrap type="none"/>
            <w10:anchorlock/>
          </v:shape>
          <o:OLEObject Type="Embed" ProgID="Excel.Sheet.8" ShapeID="Picture 6" DrawAspect="Content" ObjectID="_3" r:id="rId11"/>
        </w:object>
      </w:r>
    </w:p>
    <w:p>
      <w:pPr>
        <w:wordWrap/>
        <w:spacing w:line="600" w:lineRule="exact"/>
        <w:ind w:firstLine="640" w:firstLineChars="200"/>
        <w:jc w:val="both"/>
        <w:outlineLvl w:val="1"/>
        <w:rPr>
          <w:rStyle w:val="32"/>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24"/>
      <w:bookmarkEnd w:id="25"/>
    </w:p>
    <w:p>
      <w:pPr>
        <w:wordWrap/>
        <w:spacing w:line="600" w:lineRule="exact"/>
        <w:ind w:firstLine="640"/>
        <w:jc w:val="both"/>
        <w:rPr>
          <w:rFonts w:ascii="仿宋" w:hAnsi="仿宋" w:eastAsia="仿宋"/>
          <w:b/>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1109.04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183.7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olor w:val="auto"/>
          <w:sz w:val="32"/>
          <w:szCs w:val="32"/>
          <w:lang w:eastAsia="zh-CN"/>
        </w:rPr>
        <w:t>政府投资审计“三个转变”费用、</w:t>
      </w:r>
      <w:r>
        <w:rPr>
          <w:rFonts w:hint="eastAsia" w:ascii="仿宋_GB2312" w:hAnsi="仿宋" w:eastAsia="仿宋_GB2312"/>
          <w:color w:val="auto"/>
          <w:sz w:val="32"/>
          <w:szCs w:val="32"/>
        </w:rPr>
        <w:t>增人增资</w:t>
      </w:r>
      <w:r>
        <w:rPr>
          <w:rFonts w:hint="eastAsia" w:ascii="仿宋_GB2312" w:hAnsi="仿宋" w:eastAsia="仿宋_GB2312"/>
          <w:color w:val="auto"/>
          <w:sz w:val="32"/>
          <w:szCs w:val="32"/>
          <w:lang w:eastAsia="zh-CN"/>
        </w:rPr>
        <w:t>等费用增加。</w:t>
      </w:r>
    </w:p>
    <w:p>
      <w:pPr>
        <w:widowControl w:val="0"/>
        <w:wordWrap/>
        <w:adjustRightInd/>
        <w:snapToGrid/>
        <w:spacing w:line="240" w:lineRule="auto"/>
        <w:jc w:val="both"/>
        <w:textAlignment w:val="auto"/>
        <w:rPr>
          <w:rFonts w:ascii="仿宋" w:hAnsi="仿宋" w:eastAsia="仿宋"/>
          <w:b/>
          <w:color w:val="auto"/>
          <w:sz w:val="32"/>
          <w:szCs w:val="32"/>
          <w:highlight w:val="none"/>
        </w:rPr>
      </w:pPr>
      <w:r>
        <w:rPr>
          <w:rFonts w:hint="default" w:ascii="仿宋" w:hAnsi="仿宋" w:eastAsia="仿宋" w:cs="Times New Roman"/>
          <w:color w:val="auto"/>
          <w:kern w:val="2"/>
          <w:sz w:val="32"/>
          <w:szCs w:val="32"/>
          <w:highlight w:val="none"/>
          <w:lang w:val="en-US" w:eastAsia="zh-CN" w:bidi="ar-SA"/>
        </w:rPr>
        <w:object>
          <v:shape id="Picture 7" type="#_x0000_t75" style="height:267.75pt;width:366.75pt;rotation:0f;" o:ole="t" fillcolor="#FFFFFF" filled="f" o:preferrelative="t" stroked="f" coordorigin="0,0" coordsize="21600,21600">
            <v:fill on="f" color2="#FFFFFF" focus="0%"/>
            <v:imagedata gain="65536f" blacklevel="0f" gamma="0" o:title="olechartimg_1696923563319846_565949440" r:id="rId14"/>
            <o:lock v:ext="edit" position="f" selection="f" grouping="f" rotation="f" cropping="f" text="f" aspectratio="t"/>
            <w10:wrap type="none"/>
            <w10:anchorlock/>
          </v:shape>
          <o:OLEObject Type="Embed" ProgID="Excel.Sheet.8" ShapeID="Picture 7" DrawAspect="Content" ObjectID="_4" r:id="rId13"/>
        </w:object>
      </w:r>
    </w:p>
    <w:p>
      <w:pPr>
        <w:wordWrap/>
        <w:spacing w:line="600" w:lineRule="exact"/>
        <w:ind w:firstLine="640" w:firstLineChars="200"/>
        <w:jc w:val="both"/>
        <w:outlineLvl w:val="1"/>
        <w:rPr>
          <w:rStyle w:val="32"/>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26"/>
      <w:bookmarkEnd w:id="27"/>
    </w:p>
    <w:p>
      <w:pPr>
        <w:wordWrap/>
        <w:spacing w:line="600" w:lineRule="exact"/>
        <w:ind w:firstLine="642" w:firstLineChars="200"/>
        <w:jc w:val="both"/>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wordWrap/>
        <w:spacing w:line="60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1109.04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183.7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olor w:val="auto"/>
          <w:sz w:val="32"/>
          <w:szCs w:val="32"/>
          <w:lang w:eastAsia="zh-CN"/>
        </w:rPr>
        <w:t>政府投资审计“三个转变”费用、</w:t>
      </w:r>
      <w:r>
        <w:rPr>
          <w:rFonts w:hint="eastAsia" w:ascii="仿宋_GB2312" w:hAnsi="仿宋" w:eastAsia="仿宋_GB2312"/>
          <w:color w:val="auto"/>
          <w:sz w:val="32"/>
          <w:szCs w:val="32"/>
        </w:rPr>
        <w:t>增人增资</w:t>
      </w:r>
      <w:r>
        <w:rPr>
          <w:rFonts w:hint="eastAsia" w:ascii="仿宋_GB2312" w:hAnsi="仿宋" w:eastAsia="仿宋_GB2312"/>
          <w:color w:val="auto"/>
          <w:sz w:val="32"/>
          <w:szCs w:val="32"/>
          <w:lang w:eastAsia="zh-CN"/>
        </w:rPr>
        <w:t>等费用增加。</w:t>
      </w:r>
    </w:p>
    <w:p>
      <w:pPr>
        <w:widowControl w:val="0"/>
        <w:wordWrap/>
        <w:adjustRightInd/>
        <w:snapToGrid/>
        <w:spacing w:line="240" w:lineRule="auto"/>
        <w:ind w:firstLine="640" w:firstLineChars="200"/>
        <w:jc w:val="both"/>
        <w:textAlignment w:val="auto"/>
        <w:rPr>
          <w:rFonts w:hint="default" w:ascii="仿宋" w:hAnsi="仿宋" w:eastAsia="仿宋"/>
          <w:color w:val="FF0000"/>
          <w:sz w:val="32"/>
          <w:szCs w:val="32"/>
          <w:highlight w:val="none"/>
        </w:rPr>
      </w:pPr>
      <w:r>
        <w:rPr>
          <w:rFonts w:hint="default" w:ascii="仿宋" w:hAnsi="仿宋" w:eastAsia="仿宋" w:cs="Times New Roman"/>
          <w:color w:val="FF0000"/>
          <w:kern w:val="2"/>
          <w:sz w:val="32"/>
          <w:szCs w:val="32"/>
          <w:highlight w:val="none"/>
          <w:lang w:val="en-US" w:eastAsia="zh-CN" w:bidi="ar-SA"/>
        </w:rPr>
        <w:object>
          <v:shape id="Picture 8" type="#_x0000_t75" style="height:267.75pt;width:366.75pt;rotation:0f;" o:ole="t" fillcolor="#FFFFFF" filled="f" o:preferrelative="t" stroked="f" coordorigin="0,0" coordsize="21600,21600">
            <v:fill on="f" color2="#FFFFFF" focus="0%"/>
            <v:imagedata gain="65536f" blacklevel="0f" gamma="0" o:title="olechartimg_1696923900465542_428222464" r:id="rId16"/>
            <o:lock v:ext="edit" position="f" selection="f" grouping="f" rotation="f" cropping="f" text="f" aspectratio="t"/>
            <w10:wrap type="none"/>
            <w10:anchorlock/>
          </v:shape>
          <o:OLEObject Type="Embed" ProgID="Excel.Sheet.8" ShapeID="Picture 8" DrawAspect="Content" ObjectID="_5" r:id="rId15"/>
        </w:object>
      </w:r>
    </w:p>
    <w:p>
      <w:pPr>
        <w:wordWrap/>
        <w:spacing w:line="600" w:lineRule="exact"/>
        <w:ind w:firstLine="642" w:firstLineChars="200"/>
        <w:jc w:val="both"/>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wordWrap/>
        <w:spacing w:line="600" w:lineRule="exact"/>
        <w:ind w:firstLine="640"/>
        <w:jc w:val="both"/>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1109.04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1008.53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53.47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20.50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26.54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widowControl w:val="0"/>
        <w:wordWrap/>
        <w:adjustRightInd/>
        <w:snapToGrid/>
        <w:spacing w:line="240" w:lineRule="auto"/>
        <w:ind w:firstLine="641"/>
        <w:jc w:val="both"/>
        <w:textAlignment w:val="auto"/>
        <w:rPr>
          <w:rFonts w:hint="default" w:ascii="仿宋" w:hAnsi="仿宋" w:eastAsia="仿宋"/>
          <w:color w:val="auto"/>
          <w:sz w:val="32"/>
          <w:szCs w:val="32"/>
          <w:highlight w:val="none"/>
        </w:rPr>
      </w:pPr>
      <w:r>
        <w:rPr>
          <w:rFonts w:hint="default" w:ascii="仿宋" w:hAnsi="仿宋" w:eastAsia="仿宋" w:cs="Times New Roman"/>
          <w:color w:val="auto"/>
          <w:kern w:val="2"/>
          <w:sz w:val="32"/>
          <w:szCs w:val="32"/>
          <w:highlight w:val="none"/>
          <w:lang w:val="en-US" w:eastAsia="zh-CN" w:bidi="ar-SA"/>
        </w:rPr>
        <w:object>
          <v:shape id="Picture 9" type="#_x0000_t75" style="height:267.75pt;width:366.75pt;rotation:0f;" o:ole="t" fillcolor="#FFFFFF" filled="f" o:preferrelative="t" stroked="f" coordorigin="0,0" coordsize="21600,21600">
            <v:fill on="f" color2="#FFFFFF" focus="0%"/>
            <v:imagedata gain="65536f" blacklevel="0f" gamma="0" o:title="olechartimg_1696924529975033_577863680" r:id="rId18"/>
            <o:lock v:ext="edit" position="f" selection="f" grouping="f" rotation="f" cropping="f" text="f" aspectratio="t"/>
            <w10:wrap type="none"/>
            <w10:anchorlock/>
          </v:shape>
          <o:OLEObject Type="Embed" ProgID="Excel.Sheet.8" ShapeID="Picture 9" DrawAspect="Content" ObjectID="_6" r:id="rId17"/>
        </w:object>
      </w:r>
    </w:p>
    <w:p>
      <w:pPr>
        <w:wordWrap/>
        <w:spacing w:line="600" w:lineRule="exact"/>
        <w:ind w:firstLine="640" w:firstLineChars="200"/>
        <w:jc w:val="both"/>
        <w:rPr>
          <w:rFonts w:ascii="仿宋" w:hAnsi="仿宋" w:eastAsia="仿宋"/>
          <w:color w:val="auto"/>
          <w:sz w:val="32"/>
          <w:szCs w:val="32"/>
          <w:highlight w:val="none"/>
        </w:rPr>
      </w:pPr>
    </w:p>
    <w:p>
      <w:pPr>
        <w:wordWrap/>
        <w:spacing w:line="600" w:lineRule="exact"/>
        <w:ind w:firstLine="642" w:firstLineChars="200"/>
        <w:jc w:val="both"/>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wordWrap/>
        <w:spacing w:line="600" w:lineRule="exact"/>
        <w:ind w:firstLine="642" w:firstLineChars="200"/>
        <w:jc w:val="both"/>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1109.04</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wordWrap/>
        <w:spacing w:line="600" w:lineRule="exact"/>
        <w:ind w:firstLine="642" w:firstLineChars="200"/>
        <w:jc w:val="both"/>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一般公共服务（类）审计事务（款）行政运行（项）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432.39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ascii="仿宋" w:hAnsi="仿宋" w:eastAsia="仿宋"/>
          <w:bCs/>
          <w:color w:val="auto"/>
          <w:sz w:val="32"/>
          <w:szCs w:val="32"/>
          <w:highlight w:val="none"/>
        </w:rPr>
        <w:t>2.</w:t>
      </w:r>
      <w:r>
        <w:rPr>
          <w:rStyle w:val="17"/>
          <w:rFonts w:hint="eastAsia" w:ascii="仿宋" w:hAnsi="仿宋" w:eastAsia="仿宋"/>
          <w:bCs/>
          <w:color w:val="auto"/>
          <w:sz w:val="32"/>
          <w:szCs w:val="32"/>
          <w:highlight w:val="none"/>
        </w:rPr>
        <w:t>一般公共服务（类）审计事务（款）一般行政管理事务（项）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21.3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ascii="仿宋" w:hAnsi="仿宋" w:eastAsia="仿宋"/>
          <w:bCs/>
          <w:color w:val="auto"/>
          <w:sz w:val="32"/>
          <w:szCs w:val="32"/>
          <w:highlight w:val="none"/>
        </w:rPr>
        <w:t>3.</w:t>
      </w:r>
      <w:r>
        <w:rPr>
          <w:rStyle w:val="17"/>
          <w:rFonts w:hint="eastAsia" w:ascii="仿宋" w:hAnsi="仿宋" w:eastAsia="仿宋"/>
          <w:bCs/>
          <w:color w:val="auto"/>
          <w:sz w:val="32"/>
          <w:szCs w:val="32"/>
          <w:highlight w:val="none"/>
        </w:rPr>
        <w:t>一般公共服务（类）审计事务（款）审计业务（项）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138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ascii="仿宋" w:hAnsi="仿宋" w:eastAsia="仿宋"/>
          <w:bCs/>
          <w:color w:val="auto"/>
          <w:sz w:val="32"/>
          <w:szCs w:val="32"/>
          <w:highlight w:val="none"/>
        </w:rPr>
        <w:t>4.</w:t>
      </w:r>
      <w:r>
        <w:rPr>
          <w:rStyle w:val="17"/>
          <w:rFonts w:hint="eastAsia" w:ascii="仿宋" w:hAnsi="仿宋" w:eastAsia="仿宋"/>
          <w:bCs/>
          <w:color w:val="auto"/>
          <w:sz w:val="32"/>
          <w:szCs w:val="32"/>
          <w:highlight w:val="none"/>
        </w:rPr>
        <w:t>一般公共服务（类）审计事务（款）信息化建设（项）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w:t>
      </w:r>
      <w:r>
        <w:rPr>
          <w:rStyle w:val="17"/>
          <w:rFonts w:hint="eastAsia" w:ascii="仿宋" w:hAnsi="仿宋" w:eastAsia="仿宋"/>
          <w:bCs/>
          <w:color w:val="auto"/>
          <w:sz w:val="32"/>
          <w:szCs w:val="32"/>
          <w:highlight w:val="none"/>
        </w:rPr>
        <w:t>一般公共服务（类）审计事务（款）事业运行（项）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68.84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6.</w:t>
      </w:r>
      <w:r>
        <w:rPr>
          <w:rStyle w:val="17"/>
          <w:rFonts w:hint="eastAsia" w:ascii="仿宋" w:hAnsi="仿宋" w:eastAsia="仿宋"/>
          <w:bCs/>
          <w:color w:val="auto"/>
          <w:sz w:val="32"/>
          <w:szCs w:val="32"/>
          <w:highlight w:val="none"/>
        </w:rPr>
        <w:t>一般公共服务（类）审计事务（款）其他审计事务支出（项）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308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lang w:eastAsia="zh-CN"/>
        </w:rPr>
      </w:pPr>
      <w:r>
        <w:rPr>
          <w:rStyle w:val="17"/>
          <w:rFonts w:hint="eastAsia" w:ascii="仿宋" w:hAnsi="仿宋" w:eastAsia="仿宋"/>
          <w:bCs/>
          <w:color w:val="auto"/>
          <w:sz w:val="32"/>
          <w:szCs w:val="32"/>
          <w:highlight w:val="none"/>
          <w:lang w:val="en-US" w:eastAsia="zh-CN"/>
        </w:rPr>
        <w:t>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社会保障和就业（类）行政事业单位养老支出（款）机关事业单位基本养老保险缴费支出（项）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46.72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wordWrap/>
        <w:spacing w:line="600" w:lineRule="exact"/>
        <w:ind w:firstLine="642" w:firstLineChars="200"/>
        <w:jc w:val="both"/>
        <w:rPr>
          <w:rStyle w:val="17"/>
          <w:rFonts w:hint="eastAsia" w:ascii="仿宋" w:hAnsi="仿宋" w:eastAsia="仿宋"/>
          <w:b w:val="0"/>
          <w:bCs/>
          <w:color w:val="auto"/>
          <w:sz w:val="32"/>
          <w:szCs w:val="32"/>
          <w:highlight w:val="none"/>
          <w:lang w:eastAsia="zh-CN"/>
        </w:rPr>
      </w:pPr>
      <w:r>
        <w:rPr>
          <w:rStyle w:val="17"/>
          <w:rFonts w:hint="eastAsia" w:ascii="仿宋" w:hAnsi="仿宋" w:eastAsia="仿宋"/>
          <w:bCs/>
          <w:color w:val="auto"/>
          <w:sz w:val="32"/>
          <w:szCs w:val="32"/>
          <w:highlight w:val="none"/>
          <w:lang w:val="en-US" w:eastAsia="zh-CN"/>
        </w:rPr>
        <w:t>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社会保障和就业（类）行政事业单位养老支出（款）机关事业单位职业年金缴费支出（项）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3.13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wordWrap/>
        <w:spacing w:line="600" w:lineRule="exact"/>
        <w:ind w:firstLine="642" w:firstLineChars="200"/>
        <w:jc w:val="both"/>
        <w:rPr>
          <w:rStyle w:val="17"/>
          <w:rFonts w:hint="eastAsia" w:ascii="仿宋" w:hAnsi="仿宋" w:eastAsia="仿宋"/>
          <w:b w:val="0"/>
          <w:bCs/>
          <w:color w:val="auto"/>
          <w:sz w:val="32"/>
          <w:szCs w:val="32"/>
          <w:highlight w:val="none"/>
          <w:lang w:eastAsia="zh-CN"/>
        </w:rPr>
      </w:pPr>
      <w:r>
        <w:rPr>
          <w:rStyle w:val="17"/>
          <w:rFonts w:hint="eastAsia" w:ascii="仿宋" w:hAnsi="仿宋" w:eastAsia="仿宋"/>
          <w:bCs/>
          <w:color w:val="auto"/>
          <w:sz w:val="32"/>
          <w:szCs w:val="32"/>
          <w:highlight w:val="none"/>
          <w:lang w:val="en-US" w:eastAsia="zh-CN"/>
        </w:rPr>
        <w:t>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社会保障和就业（类）行政事业单位养老支出（款）其他行政事业单位养老支出（项）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3.62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wordWrap/>
        <w:spacing w:line="600" w:lineRule="exact"/>
        <w:ind w:firstLine="642" w:firstLineChars="200"/>
        <w:jc w:val="both"/>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10</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11</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（类）行政事业单位医疗（款）事业单位医疗（项）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4.55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12</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（类）行政事业单位医疗（款）公务员医疗补助（项）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4.56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wordWrap/>
        <w:spacing w:line="600" w:lineRule="exact"/>
        <w:ind w:firstLine="642" w:firstLineChars="200"/>
        <w:jc w:val="both"/>
        <w:rPr>
          <w:rFonts w:ascii="仿宋" w:hAnsi="仿宋" w:eastAsia="仿宋"/>
          <w:b/>
          <w:color w:val="auto"/>
          <w:sz w:val="32"/>
          <w:szCs w:val="32"/>
          <w:highlight w:val="none"/>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住房保障支出</w:t>
      </w:r>
      <w:r>
        <w:rPr>
          <w:rStyle w:val="17"/>
          <w:rFonts w:hint="eastAsia" w:ascii="仿宋_GB2312" w:hAnsi="仿宋_GB2312" w:eastAsia="仿宋_GB2312" w:cs="仿宋_GB2312"/>
          <w:bCs/>
          <w:color w:val="auto"/>
          <w:sz w:val="32"/>
          <w:szCs w:val="32"/>
        </w:rPr>
        <w:t>（类）住房改革支出（款）住房公积金</w:t>
      </w:r>
      <w:r>
        <w:rPr>
          <w:rStyle w:val="17"/>
          <w:rFonts w:hint="eastAsia" w:ascii="仿宋_GB2312" w:hAnsi="仿宋_GB2312" w:eastAsia="仿宋_GB2312" w:cs="仿宋_GB2312"/>
          <w:bCs/>
          <w:color w:val="auto"/>
          <w:sz w:val="32"/>
          <w:szCs w:val="32"/>
          <w:lang w:eastAsia="zh-CN"/>
        </w:rPr>
        <w:t>（</w:t>
      </w:r>
      <w:r>
        <w:rPr>
          <w:rStyle w:val="17"/>
          <w:rFonts w:hint="eastAsia" w:ascii="仿宋_GB2312" w:hAnsi="仿宋_GB2312" w:eastAsia="仿宋_GB2312" w:cs="仿宋_GB2312"/>
          <w:bCs/>
          <w:color w:val="auto"/>
          <w:sz w:val="32"/>
          <w:szCs w:val="32"/>
        </w:rPr>
        <w:t>项）:</w:t>
      </w:r>
      <w:r>
        <w:rPr>
          <w:rStyle w:val="17"/>
          <w:rFonts w:hint="eastAsia" w:ascii="仿宋_GB2312" w:hAnsi="仿宋_GB2312" w:eastAsia="仿宋_GB2312" w:cs="仿宋_GB2312"/>
          <w:b w:val="0"/>
          <w:bCs/>
          <w:color w:val="auto"/>
          <w:sz w:val="32"/>
          <w:szCs w:val="32"/>
        </w:rPr>
        <w:t>支出决算为</w:t>
      </w:r>
      <w:r>
        <w:rPr>
          <w:rStyle w:val="17"/>
          <w:rFonts w:hint="eastAsia" w:ascii="仿宋_GB2312" w:hAnsi="仿宋_GB2312" w:eastAsia="仿宋_GB2312" w:cs="仿宋_GB2312"/>
          <w:b w:val="0"/>
          <w:bCs/>
          <w:color w:val="auto"/>
          <w:sz w:val="32"/>
          <w:szCs w:val="32"/>
          <w:lang w:val="en-US" w:eastAsia="zh-CN"/>
        </w:rPr>
        <w:t>26.54</w:t>
      </w:r>
      <w:r>
        <w:rPr>
          <w:rStyle w:val="17"/>
          <w:rFonts w:hint="eastAsia" w:ascii="仿宋_GB2312" w:hAnsi="仿宋_GB2312" w:eastAsia="仿宋_GB2312" w:cs="仿宋_GB2312"/>
          <w:b w:val="0"/>
          <w:bCs/>
          <w:color w:val="auto"/>
          <w:sz w:val="32"/>
          <w:szCs w:val="32"/>
        </w:rPr>
        <w:t>万元，完成预算</w:t>
      </w:r>
      <w:r>
        <w:rPr>
          <w:rStyle w:val="17"/>
          <w:rFonts w:hint="eastAsia" w:ascii="仿宋_GB2312" w:hAnsi="仿宋_GB2312" w:eastAsia="仿宋_GB2312" w:cs="仿宋_GB2312"/>
          <w:b w:val="0"/>
          <w:bCs/>
          <w:color w:val="auto"/>
          <w:sz w:val="32"/>
          <w:szCs w:val="32"/>
          <w:lang w:val="en-US" w:eastAsia="zh-CN"/>
        </w:rPr>
        <w:t>100</w:t>
      </w:r>
      <w:r>
        <w:rPr>
          <w:rStyle w:val="17"/>
          <w:rFonts w:hint="eastAsia" w:ascii="仿宋_GB2312" w:hAnsi="仿宋_GB2312" w:eastAsia="仿宋_GB2312" w:cs="仿宋_GB2312"/>
          <w:b w:val="0"/>
          <w:bCs/>
          <w:color w:val="auto"/>
          <w:sz w:val="32"/>
          <w:szCs w:val="32"/>
        </w:rPr>
        <w:t>%。</w:t>
      </w:r>
    </w:p>
    <w:p>
      <w:pPr>
        <w:tabs>
          <w:tab w:val="right" w:pos="8306"/>
        </w:tabs>
        <w:wordWrap/>
        <w:spacing w:line="600" w:lineRule="exact"/>
        <w:ind w:firstLine="640"/>
        <w:jc w:val="both"/>
        <w:outlineLvl w:val="1"/>
        <w:rPr>
          <w:rStyle w:val="32"/>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4"/>
      <w:bookmarkEnd w:id="35"/>
      <w:r>
        <w:rPr>
          <w:rStyle w:val="32"/>
          <w:rFonts w:ascii="黑体" w:hAnsi="黑体" w:eastAsia="黑体"/>
          <w:b w:val="0"/>
          <w:color w:val="auto"/>
          <w:highlight w:val="none"/>
        </w:rPr>
        <w:tab/>
      </w:r>
    </w:p>
    <w:p>
      <w:pPr>
        <w:wordWrap/>
        <w:spacing w:line="600" w:lineRule="exact"/>
        <w:ind w:firstLine="645"/>
        <w:jc w:val="both"/>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601.74</w:t>
      </w:r>
      <w:r>
        <w:rPr>
          <w:rFonts w:hint="eastAsia" w:ascii="仿宋" w:hAnsi="仿宋" w:eastAsia="仿宋"/>
          <w:color w:val="auto"/>
          <w:sz w:val="32"/>
          <w:szCs w:val="32"/>
          <w:highlight w:val="none"/>
        </w:rPr>
        <w:t>万元，其中：</w:t>
      </w:r>
    </w:p>
    <w:p>
      <w:pPr>
        <w:wordWrap/>
        <w:spacing w:line="600" w:lineRule="exact"/>
        <w:ind w:firstLine="645"/>
        <w:jc w:val="both"/>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545.82</w:t>
      </w:r>
      <w:r>
        <w:rPr>
          <w:rFonts w:hint="eastAsia" w:ascii="仿宋" w:hAnsi="仿宋" w:eastAsia="仿宋"/>
          <w:color w:val="auto"/>
          <w:sz w:val="32"/>
          <w:szCs w:val="32"/>
          <w:highlight w:val="none"/>
        </w:rPr>
        <w:t>万元，主要包括：基本工资、津贴补贴、奖金、绩效工资、机关事业单位基本养老保险缴费、职业年金缴费、 职工基本医疗保险缴费</w:t>
      </w:r>
      <w:r>
        <w:rPr>
          <w:rFonts w:hint="eastAsia" w:ascii="仿宋" w:hAnsi="仿宋" w:eastAsia="仿宋"/>
          <w:color w:val="auto"/>
          <w:sz w:val="32"/>
          <w:szCs w:val="32"/>
          <w:highlight w:val="none"/>
          <w:lang w:eastAsia="zh-CN"/>
        </w:rPr>
        <w:t>、公务员医疗补助缴费、</w:t>
      </w:r>
      <w:r>
        <w:rPr>
          <w:rFonts w:hint="eastAsia" w:ascii="仿宋" w:hAnsi="仿宋" w:eastAsia="仿宋"/>
          <w:color w:val="auto"/>
          <w:sz w:val="32"/>
          <w:szCs w:val="32"/>
          <w:highlight w:val="none"/>
        </w:rPr>
        <w:t>其他社会保障缴费、奖励金、住房公积金、其他对个人和家庭的补助支出。</w:t>
      </w:r>
      <w:r>
        <w:rPr>
          <w:rFonts w:ascii="仿宋" w:hAnsi="仿宋" w:eastAsia="仿宋"/>
          <w:color w:val="auto"/>
          <w:sz w:val="32"/>
          <w:szCs w:val="32"/>
          <w:highlight w:val="none"/>
        </w:rPr>
        <w:br/>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55.92</w:t>
      </w:r>
      <w:r>
        <w:rPr>
          <w:rFonts w:hint="eastAsia" w:ascii="仿宋" w:hAnsi="仿宋" w:eastAsia="仿宋"/>
          <w:color w:val="auto"/>
          <w:sz w:val="32"/>
          <w:szCs w:val="32"/>
          <w:highlight w:val="none"/>
        </w:rPr>
        <w:t>万元，主要包括：办公费、手续费、水费、电费、邮电费、差旅费、维修（护）费、工会经费、福利费、其他交通费、其他商品和服务支出。</w:t>
      </w:r>
    </w:p>
    <w:p>
      <w:pPr>
        <w:wordWrap/>
        <w:spacing w:line="600" w:lineRule="exact"/>
        <w:ind w:firstLine="640"/>
        <w:jc w:val="both"/>
        <w:outlineLvl w:val="1"/>
        <w:rPr>
          <w:rStyle w:val="32"/>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36"/>
      <w:bookmarkEnd w:id="37"/>
    </w:p>
    <w:p>
      <w:pPr>
        <w:wordWrap/>
        <w:spacing w:line="600" w:lineRule="exact"/>
        <w:ind w:firstLine="640"/>
        <w:jc w:val="both"/>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wordWrap/>
        <w:spacing w:line="600" w:lineRule="exact"/>
        <w:ind w:firstLine="640"/>
        <w:jc w:val="both"/>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2021年</w:t>
      </w:r>
      <w:r>
        <w:rPr>
          <w:rFonts w:hint="eastAsia" w:ascii="仿宋" w:hAnsi="仿宋" w:eastAsia="仿宋"/>
          <w:color w:val="auto"/>
          <w:sz w:val="32"/>
          <w:szCs w:val="32"/>
          <w:highlight w:val="none"/>
          <w:lang w:eastAsia="zh-CN"/>
        </w:rPr>
        <w:t>持平</w:t>
      </w:r>
      <w:r>
        <w:rPr>
          <w:rFonts w:hint="eastAsia" w:ascii="仿宋" w:hAnsi="仿宋" w:eastAsia="仿宋"/>
          <w:color w:val="auto"/>
          <w:sz w:val="32"/>
          <w:szCs w:val="32"/>
          <w:highlight w:val="none"/>
          <w:lang w:val="en-US" w:eastAsia="zh-CN"/>
        </w:rPr>
        <w:t>。</w:t>
      </w:r>
    </w:p>
    <w:p>
      <w:pPr>
        <w:wordWrap/>
        <w:spacing w:line="600" w:lineRule="exact"/>
        <w:ind w:firstLine="640"/>
        <w:jc w:val="both"/>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wordWrap/>
        <w:spacing w:line="600" w:lineRule="exact"/>
        <w:ind w:firstLine="640"/>
        <w:jc w:val="both"/>
        <w:rPr>
          <w:rFonts w:hint="eastAsia" w:ascii="仿宋_GB2312" w:hAnsi="仿宋_GB2312" w:eastAsia="仿宋_GB2312" w:cs="仿宋_GB2312"/>
          <w:color w:val="auto"/>
          <w:kern w:val="2"/>
          <w:sz w:val="32"/>
          <w:szCs w:val="32"/>
          <w:lang w:val="en-US" w:eastAsia="zh-CN" w:bidi="ar-SA"/>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wordWrap/>
        <w:spacing w:line="600" w:lineRule="exact"/>
        <w:jc w:val="both"/>
        <w:rPr>
          <w:rFonts w:hint="eastAsia" w:ascii="仿宋_GB2312" w:hAnsi="仿宋_GB2312" w:eastAsia="仿宋_GB2312" w:cs="仿宋_GB2312"/>
          <w:color w:val="auto"/>
          <w:kern w:val="2"/>
          <w:sz w:val="32"/>
          <w:szCs w:val="32"/>
          <w:lang w:val="en-US" w:eastAsia="zh-CN" w:bidi="ar-SA"/>
        </w:rPr>
      </w:pPr>
    </w:p>
    <w:p>
      <w:pPr>
        <w:widowControl w:val="0"/>
        <w:wordWrap/>
        <w:adjustRightInd/>
        <w:snapToGrid/>
        <w:spacing w:line="240" w:lineRule="auto"/>
        <w:jc w:val="both"/>
        <w:textAlignment w:val="auto"/>
        <w:rPr>
          <w:rFonts w:hint="default" w:ascii="仿宋_GB2312" w:hAnsi="仿宋_GB2312" w:eastAsia="仿宋_GB2312" w:cs="仿宋_GB2312"/>
          <w:color w:val="auto"/>
          <w:kern w:val="2"/>
          <w:sz w:val="32"/>
          <w:szCs w:val="32"/>
          <w:lang w:eastAsia="zh-CN" w:bidi="ar-SA"/>
        </w:rPr>
      </w:pPr>
      <w:r>
        <w:rPr>
          <w:rFonts w:hint="default" w:ascii="仿宋_GB2312" w:hAnsi="仿宋_GB2312" w:eastAsia="仿宋_GB2312" w:cs="仿宋_GB2312"/>
          <w:color w:val="auto"/>
          <w:kern w:val="2"/>
          <w:sz w:val="32"/>
          <w:szCs w:val="32"/>
          <w:lang w:val="en-US" w:eastAsia="zh-CN" w:bidi="ar-SA"/>
        </w:rPr>
        <w:object>
          <v:shape id="Picture 11" type="#_x0000_t75" style="height:267.75pt;width:366.75pt;rotation:0f;" o:ole="t" fillcolor="#FFFFFF" filled="f" o:preferrelative="t" stroked="f" coordorigin="0,0" coordsize="21600,21600">
            <v:fill on="f" color2="#FFFFFF" focus="0%"/>
            <v:imagedata gain="65536f" blacklevel="0f" gamma="0" o:title="olechartimg_1696924818896211_577863680" r:id="rId20"/>
            <o:lock v:ext="edit" position="f" selection="f" grouping="f" rotation="f" cropping="f" text="f" aspectratio="t"/>
            <w10:wrap type="none"/>
            <w10:anchorlock/>
          </v:shape>
          <o:OLEObject Type="Embed" ProgID="Excel.Sheet.8" ShapeID="Picture 11" DrawAspect="Content" ObjectID="_7" r:id="rId19"/>
        </w:object>
      </w:r>
    </w:p>
    <w:p>
      <w:pPr>
        <w:wordWrap/>
        <w:spacing w:line="600" w:lineRule="exact"/>
        <w:jc w:val="both"/>
        <w:rPr>
          <w:rFonts w:hint="eastAsia" w:ascii="仿宋" w:hAnsi="仿宋" w:eastAsia="仿宋"/>
          <w:color w:val="auto"/>
          <w:sz w:val="32"/>
          <w:szCs w:val="32"/>
          <w:highlight w:val="none"/>
        </w:rPr>
      </w:pPr>
    </w:p>
    <w:p>
      <w:pPr>
        <w:numPr>
          <w:ilvl w:val="0"/>
          <w:numId w:val="3"/>
        </w:numPr>
        <w:wordWrap/>
        <w:spacing w:line="600" w:lineRule="exact"/>
        <w:ind w:firstLine="640"/>
        <w:jc w:val="both"/>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比</w:t>
      </w:r>
      <w:r>
        <w:rPr>
          <w:rFonts w:hint="eastAsia" w:ascii="仿宋_GB2312" w:eastAsia="仿宋_GB2312"/>
          <w:color w:val="auto"/>
          <w:sz w:val="32"/>
          <w:szCs w:val="32"/>
          <w:highlight w:val="none"/>
          <w:lang w:val="en-US" w:eastAsia="zh-CN"/>
        </w:rPr>
        <w:t>2021年增加0元，增长0%</w:t>
      </w:r>
      <w:r>
        <w:rPr>
          <w:rFonts w:hint="eastAsia" w:ascii="仿宋_GB2312" w:eastAsia="仿宋_GB2312"/>
          <w:color w:val="auto"/>
          <w:sz w:val="32"/>
          <w:szCs w:val="32"/>
          <w:highlight w:val="none"/>
          <w:lang w:eastAsia="zh-CN"/>
        </w:rPr>
        <w:t>。</w:t>
      </w:r>
    </w:p>
    <w:p>
      <w:pPr>
        <w:numPr>
          <w:numId w:val="0"/>
        </w:numPr>
        <w:wordWrap/>
        <w:spacing w:line="600" w:lineRule="exact"/>
        <w:jc w:val="both"/>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 xml:space="preserve">    </w:t>
      </w: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比</w:t>
      </w:r>
      <w:r>
        <w:rPr>
          <w:rFonts w:hint="eastAsia" w:ascii="仿宋_GB2312" w:eastAsia="仿宋_GB2312"/>
          <w:color w:val="auto"/>
          <w:sz w:val="32"/>
          <w:szCs w:val="32"/>
          <w:highlight w:val="none"/>
          <w:lang w:val="en-US" w:eastAsia="zh-CN"/>
        </w:rPr>
        <w:t>2021年增加0元，增长0%</w:t>
      </w:r>
      <w:r>
        <w:rPr>
          <w:rFonts w:hint="eastAsia" w:ascii="仿宋_GB2312" w:eastAsia="仿宋_GB2312"/>
          <w:color w:val="auto"/>
          <w:sz w:val="32"/>
          <w:szCs w:val="32"/>
          <w:highlight w:val="none"/>
          <w:lang w:eastAsia="zh-CN"/>
        </w:rPr>
        <w:t>。</w:t>
      </w:r>
    </w:p>
    <w:p>
      <w:pPr>
        <w:wordWrap/>
        <w:spacing w:line="600" w:lineRule="exact"/>
        <w:ind w:firstLine="640"/>
        <w:jc w:val="both"/>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wordWrap/>
        <w:spacing w:line="600" w:lineRule="exact"/>
        <w:ind w:firstLine="640"/>
        <w:jc w:val="both"/>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6.3</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。其中：</w:t>
      </w:r>
    </w:p>
    <w:p>
      <w:pPr>
        <w:wordWrap/>
        <w:spacing w:line="600" w:lineRule="exact"/>
        <w:ind w:firstLine="640"/>
        <w:jc w:val="both"/>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6.3</w:t>
      </w:r>
      <w:r>
        <w:rPr>
          <w:rFonts w:hint="eastAsia" w:ascii="仿宋_GB2312" w:eastAsia="仿宋_GB2312"/>
          <w:color w:val="auto"/>
          <w:sz w:val="32"/>
          <w:szCs w:val="32"/>
          <w:highlight w:val="none"/>
        </w:rPr>
        <w:t>万元，主要用于执行公务、开展业务活动开支的住宿费、用餐费等。国内公务接待</w:t>
      </w:r>
      <w:r>
        <w:rPr>
          <w:rFonts w:hint="eastAsia" w:ascii="仿宋_GB2312" w:eastAsia="仿宋_GB2312"/>
          <w:color w:val="auto"/>
          <w:sz w:val="32"/>
          <w:szCs w:val="32"/>
          <w:highlight w:val="none"/>
          <w:lang w:val="en-US" w:eastAsia="zh-CN"/>
        </w:rPr>
        <w:t>98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593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6.3</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color w:val="auto"/>
          <w:sz w:val="32"/>
          <w:szCs w:val="32"/>
          <w:highlight w:val="none"/>
          <w:lang w:val="en-US" w:eastAsia="zh-CN"/>
        </w:rPr>
        <w:t>市级交叉审计组人员餐费3.2万元，接待上级机关各类检查调研工作餐费3.1万元</w:t>
      </w:r>
      <w:r>
        <w:rPr>
          <w:rFonts w:hint="eastAsia" w:ascii="仿宋_GB2312" w:eastAsia="仿宋_GB2312"/>
          <w:color w:val="auto"/>
          <w:sz w:val="32"/>
          <w:szCs w:val="32"/>
          <w:highlight w:val="none"/>
        </w:rPr>
        <w:t>。</w:t>
      </w:r>
    </w:p>
    <w:p>
      <w:pPr>
        <w:wordWrap/>
        <w:spacing w:line="600" w:lineRule="exact"/>
        <w:ind w:firstLine="642" w:firstLineChars="200"/>
        <w:jc w:val="both"/>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我局未开展外事接待</w:t>
      </w:r>
      <w:r>
        <w:rPr>
          <w:rFonts w:hint="eastAsia" w:ascii="仿宋_GB2312" w:eastAsia="仿宋_GB2312"/>
          <w:color w:val="auto"/>
          <w:sz w:val="32"/>
          <w:szCs w:val="32"/>
          <w:highlight w:val="none"/>
        </w:rPr>
        <w:t>。</w:t>
      </w:r>
      <w:bookmarkStart w:id="40" w:name="_Toc15377218"/>
      <w:bookmarkStart w:id="41" w:name="_Toc15396610"/>
    </w:p>
    <w:p>
      <w:pPr>
        <w:wordWrap/>
        <w:spacing w:line="600" w:lineRule="exact"/>
        <w:ind w:firstLine="640"/>
        <w:jc w:val="both"/>
        <w:outlineLvl w:val="1"/>
        <w:rPr>
          <w:rStyle w:val="32"/>
          <w:rFonts w:ascii="黑体" w:hAnsi="黑体" w:eastAsia="黑体"/>
          <w:color w:val="auto"/>
          <w:highlight w:val="none"/>
        </w:rPr>
      </w:pPr>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0"/>
      <w:bookmarkEnd w:id="41"/>
    </w:p>
    <w:p>
      <w:pPr>
        <w:wordWrap/>
        <w:spacing w:line="600" w:lineRule="exact"/>
        <w:ind w:firstLine="64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wordWrap/>
        <w:spacing w:line="600" w:lineRule="exact"/>
        <w:ind w:firstLine="640"/>
        <w:jc w:val="both"/>
        <w:outlineLvl w:val="1"/>
        <w:rPr>
          <w:rStyle w:val="32"/>
          <w:rFonts w:ascii="黑体" w:hAnsi="黑体" w:eastAsia="黑体"/>
          <w:b w:val="0"/>
          <w:color w:val="auto"/>
          <w:highlight w:val="none"/>
        </w:rPr>
      </w:pPr>
      <w:bookmarkStart w:id="42" w:name="_Toc15396611"/>
      <w:bookmarkStart w:id="43" w:name="_Toc15377219"/>
      <w:r>
        <w:rPr>
          <w:rStyle w:val="32"/>
          <w:rFonts w:hint="eastAsia" w:ascii="黑体" w:hAnsi="黑体" w:eastAsia="黑体"/>
          <w:b w:val="0"/>
          <w:color w:val="auto"/>
          <w:highlight w:val="none"/>
        </w:rPr>
        <w:t>国有资本经营预算支出决算情况说明</w:t>
      </w:r>
      <w:bookmarkEnd w:id="42"/>
      <w:bookmarkEnd w:id="43"/>
    </w:p>
    <w:p>
      <w:pPr>
        <w:wordWrap/>
        <w:spacing w:line="600" w:lineRule="exact"/>
        <w:ind w:firstLine="640"/>
        <w:jc w:val="both"/>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wordWrap/>
        <w:spacing w:line="600" w:lineRule="exact"/>
        <w:ind w:firstLine="640"/>
        <w:jc w:val="both"/>
        <w:outlineLvl w:val="1"/>
        <w:rPr>
          <w:rStyle w:val="32"/>
          <w:rFonts w:hint="eastAsia" w:ascii="黑体" w:hAnsi="黑体" w:eastAsia="黑体"/>
          <w:b w:val="0"/>
          <w:color w:val="auto"/>
          <w:highlight w:val="none"/>
        </w:rPr>
      </w:pPr>
      <w:bookmarkStart w:id="44" w:name="_Toc15377221"/>
      <w:bookmarkStart w:id="45" w:name="_Toc15396612"/>
      <w:r>
        <w:rPr>
          <w:rStyle w:val="32"/>
          <w:rFonts w:hint="eastAsia" w:ascii="黑体" w:hAnsi="黑体" w:eastAsia="黑体"/>
          <w:b w:val="0"/>
          <w:color w:val="auto"/>
          <w:highlight w:val="none"/>
        </w:rPr>
        <w:t>其他重要事项的情况说明</w:t>
      </w:r>
      <w:bookmarkEnd w:id="44"/>
      <w:bookmarkEnd w:id="45"/>
    </w:p>
    <w:p>
      <w:pPr>
        <w:wordWrap/>
        <w:spacing w:line="600" w:lineRule="exact"/>
        <w:ind w:firstLine="642" w:firstLineChars="200"/>
        <w:jc w:val="both"/>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wordWrap/>
        <w:spacing w:line="600" w:lineRule="exact"/>
        <w:ind w:firstLine="640" w:firstLineChars="200"/>
        <w:jc w:val="both"/>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泸县审计局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55.92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8.98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13.84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是按节约型机关原则邮电费和交通费用减少。</w:t>
      </w:r>
    </w:p>
    <w:p>
      <w:pPr>
        <w:wordWrap/>
        <w:spacing w:line="600" w:lineRule="exact"/>
        <w:ind w:firstLine="642" w:firstLineChars="200"/>
        <w:jc w:val="both"/>
        <w:outlineLvl w:val="2"/>
        <w:rPr>
          <w:rFonts w:hint="eastAsia"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wordWrap/>
        <w:spacing w:line="60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泸县审计局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1.32</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1.32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采购办公软件</w:t>
      </w:r>
      <w:r>
        <w:rPr>
          <w:rFonts w:hint="eastAsia" w:ascii="仿宋_GB2312" w:eastAsia="仿宋_GB2312"/>
          <w:color w:val="auto"/>
          <w:sz w:val="32"/>
          <w:szCs w:val="32"/>
          <w:highlight w:val="none"/>
        </w:rPr>
        <w:t>。</w:t>
      </w:r>
    </w:p>
    <w:p>
      <w:pPr>
        <w:wordWrap/>
        <w:autoSpaceDE w:val="0"/>
        <w:autoSpaceDN w:val="0"/>
        <w:adjustRightInd w:val="0"/>
        <w:spacing w:line="600" w:lineRule="exact"/>
        <w:ind w:firstLine="642" w:firstLineChars="200"/>
        <w:jc w:val="both"/>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wordWrap/>
        <w:autoSpaceDE w:val="0"/>
        <w:autoSpaceDN w:val="0"/>
        <w:adjustRightInd w:val="0"/>
        <w:spacing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泸县审计局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ordWrap/>
        <w:autoSpaceDE w:val="0"/>
        <w:autoSpaceDN w:val="0"/>
        <w:adjustRightInd w:val="0"/>
        <w:spacing w:line="600" w:lineRule="exact"/>
        <w:ind w:firstLine="642" w:firstLineChars="200"/>
        <w:jc w:val="both"/>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wordWrap/>
        <w:ind w:firstLine="640" w:firstLineChars="200"/>
        <w:jc w:val="both"/>
        <w:rPr>
          <w:rFonts w:hint="eastAsia" w:ascii="仿宋_GB2312" w:hAnsi="仿宋_GB2312" w:eastAsia="仿宋_GB2312" w:cs="仿宋_GB2312"/>
          <w:color w:val="auto"/>
          <w:sz w:val="32"/>
          <w:szCs w:val="32"/>
          <w:highlight w:val="none"/>
          <w:shd w:val="clear" w:color="FFFFFF" w:fill="D9D9D9"/>
        </w:rPr>
      </w:pPr>
      <w:r>
        <w:rPr>
          <w:rFonts w:hint="eastAsia" w:ascii="仿宋_GB2312" w:eastAsia="仿宋_GB2312"/>
          <w:color w:val="auto"/>
          <w:sz w:val="32"/>
          <w:szCs w:val="32"/>
          <w:highlight w:val="none"/>
        </w:rPr>
        <w:t>根据预算绩效管理要求，本部门在202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年度预算编制阶段，组织对</w:t>
      </w:r>
      <w:r>
        <w:rPr>
          <w:rFonts w:hint="eastAsia" w:ascii="仿宋_GB2312" w:eastAsia="仿宋_GB2312"/>
          <w:color w:val="auto"/>
          <w:sz w:val="32"/>
          <w:szCs w:val="32"/>
          <w:highlight w:val="none"/>
          <w:lang w:eastAsia="zh-CN"/>
        </w:rPr>
        <w:t>人员经费、办公室设备购置项目、审计服务、年初预算人员项目、绩效奖金、三公经费、其他运转支出、综合定额基本运转、单项定额基本运转、</w:t>
      </w:r>
      <w:r>
        <w:rPr>
          <w:rFonts w:hint="eastAsia" w:ascii="仿宋_GB2312" w:eastAsia="仿宋_GB2312"/>
          <w:color w:val="auto"/>
          <w:sz w:val="32"/>
          <w:szCs w:val="32"/>
          <w:highlight w:val="none"/>
          <w:lang w:val="en-US" w:eastAsia="zh-CN"/>
        </w:rPr>
        <w:t>2022年度增人增资、</w:t>
      </w:r>
      <w:r>
        <w:rPr>
          <w:rFonts w:hint="eastAsia" w:ascii="仿宋_GB2312" w:eastAsia="仿宋_GB2312"/>
          <w:color w:val="auto"/>
          <w:sz w:val="32"/>
          <w:szCs w:val="32"/>
          <w:highlight w:val="none"/>
          <w:lang w:eastAsia="zh-CN"/>
        </w:rPr>
        <w:t>固定资产投资审计项目、审计外勤项目</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个项目开展了预算事前绩效评估，对</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个项目开展绩效监控。</w:t>
      </w:r>
      <w:r>
        <w:rPr>
          <w:rFonts w:hint="eastAsia" w:ascii="仿宋_GB2312" w:hAnsi="仿宋_GB2312" w:eastAsia="仿宋_GB2312" w:cs="仿宋_GB2312"/>
          <w:color w:val="auto"/>
          <w:sz w:val="32"/>
          <w:szCs w:val="32"/>
        </w:rPr>
        <w:t>预算执行过程中，选取</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个项目开展了绩效自评。同时，本部门对202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年部门整体开展绩效自评，《202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泸县审计局</w:t>
      </w:r>
      <w:r>
        <w:rPr>
          <w:rFonts w:hint="eastAsia" w:ascii="仿宋_GB2312" w:hAnsi="仿宋_GB2312" w:eastAsia="仿宋_GB2312" w:cs="仿宋_GB2312"/>
          <w:color w:val="auto"/>
          <w:sz w:val="32"/>
          <w:szCs w:val="32"/>
        </w:rPr>
        <w:t>部门整体绩效评价报告》见附件（第四部分）。</w:t>
      </w:r>
    </w:p>
    <w:p>
      <w:pPr>
        <w:widowControl/>
        <w:wordWrap/>
        <w:ind w:firstLine="642" w:firstLineChars="200"/>
        <w:jc w:val="both"/>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wordWrap/>
        <w:spacing w:line="600" w:lineRule="exact"/>
        <w:ind w:firstLine="660" w:firstLineChars="150"/>
        <w:jc w:val="center"/>
        <w:outlineLvl w:val="0"/>
        <w:rPr>
          <w:rStyle w:val="31"/>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49"/>
      <w:bookmarkEnd w:id="50"/>
    </w:p>
    <w:p>
      <w:pPr>
        <w:wordWrap/>
        <w:spacing w:line="600" w:lineRule="exact"/>
        <w:jc w:val="both"/>
        <w:rPr>
          <w:rFonts w:ascii="宋体"/>
          <w:b/>
          <w:color w:val="auto"/>
          <w:sz w:val="44"/>
          <w:szCs w:val="44"/>
          <w:highlight w:val="none"/>
        </w:rPr>
      </w:pPr>
    </w:p>
    <w:p>
      <w:pPr>
        <w:pStyle w:val="20"/>
        <w:wordWrap/>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0"/>
        <w:wordWrap/>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0"/>
        <w:wordWrap/>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4.一般公共服务（类）审计事务（款）行政运行（项）: 指维护单位正常运行的办公费、水费、电费、邮电费等基本支出。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5.一般公共服务（类）审计事务（款）一般行政管理事务（项）：指不能列入行政运行、审计业务等支出的，因脱贫攻坚、招商引资、创文、党建等工作发生的支出。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6.一般公共服务（类）审计事务（款）审计业务（项）：指各级审计机构的审计、专项审计调查、聘请社会审计组织人员及技术专家等方面的支出。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7.一般公共服务（类）审计事务（款）信息化建设（项）：指审计部门用于信息化建设方面的支出。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8.一般公共服务（类）审计事务（款） 事业运行（项）：指下属事业单位（泸县固定资产投资审计中心）人员的津补贴和绩效工资。</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9.社会保障和就业（类）行政事业单位养老支出（款）机关事业单位基本养老保险缴费支出（项）: 指机关事业单位实施养老保险制度由单位实际缴纳的养老保险支出。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Style w:val="17"/>
          <w:rFonts w:hint="eastAsia" w:hAnsi="仿宋"/>
          <w:bCs/>
          <w:color w:val="auto"/>
          <w:sz w:val="32"/>
          <w:szCs w:val="32"/>
          <w:highlight w:val="none"/>
          <w:lang w:val="en-US" w:eastAsia="zh-CN"/>
        </w:rPr>
        <w:t xml:space="preserve">   </w:t>
      </w:r>
      <w:r>
        <w:rPr>
          <w:rFonts w:hint="eastAsia" w:ascii="仿宋_GB2312" w:eastAsia="仿宋_GB2312"/>
          <w:color w:val="auto"/>
          <w:sz w:val="32"/>
          <w:szCs w:val="32"/>
          <w:lang w:val="en-US" w:eastAsia="zh-CN"/>
        </w:rPr>
        <w:t xml:space="preserve"> 10.社会保障和就业（类）行政事业单位养老支出（款）机关事业单位职业年金缴费支出（项）：指单位实施养老保险制度由单位实际缴纳的职业年金支出。</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11.卫生健康（类）行政事业单位医疗（款）行政单位医疗（项）:指用于单位实际缴纳的行政单位职工基本医疗缴费。</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12.卫生健康（类）行政事业单位医疗（款）事业单位医疗（项）:指用于单位实际缴纳的下属事业单位职工基本医疗缴费。</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13.卫生健康（类）行政事业单位医疗（款）公务员医疗补助（项）：指用于实际缴纳的公务员医疗补助缴费。</w:t>
      </w:r>
    </w:p>
    <w:p>
      <w:pPr>
        <w:pStyle w:val="20"/>
        <w:widowControl w:val="0"/>
        <w:numPr>
          <w:numId w:val="0"/>
        </w:numPr>
        <w:tabs>
          <w:tab w:val="left" w:pos="0"/>
          <w:tab w:val="left" w:pos="425"/>
        </w:tabs>
        <w:wordWrap/>
        <w:autoSpaceDE w:val="0"/>
        <w:autoSpaceDN w:val="0"/>
        <w:adjustRightInd w:val="0"/>
        <w:snapToGrid/>
        <w:spacing w:before="0" w:after="0" w:line="240" w:lineRule="auto"/>
        <w:ind w:right="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14.住房保障支出（类）住房改革支出（款）住房公积金（项）:指用于单位实际缴纳的职工住房公积金缴费。</w:t>
      </w:r>
    </w:p>
    <w:p>
      <w:pPr>
        <w:wordWrap/>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15.</w:t>
      </w:r>
      <w:r>
        <w:rPr>
          <w:rFonts w:hint="eastAsia" w:ascii="仿宋_GB2312" w:eastAsia="仿宋_GB2312"/>
          <w:color w:val="auto"/>
          <w:sz w:val="32"/>
          <w:szCs w:val="32"/>
          <w:highlight w:val="none"/>
        </w:rPr>
        <w:t>基本支出：指为保障机构正常运转、完成日常工作任务而发生的人员支出和公用支出。</w:t>
      </w:r>
    </w:p>
    <w:p>
      <w:pPr>
        <w:wordWrap/>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0"/>
        <w:wordWrap/>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wordWrap/>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0"/>
        <w:wordWrap/>
        <w:spacing w:line="560" w:lineRule="exact"/>
        <w:ind w:firstLine="640" w:firstLineChars="200"/>
        <w:jc w:val="both"/>
        <w:rPr>
          <w:rFonts w:ascii="仿宋_GB2312" w:eastAsia="仿宋_GB2312" w:cs="黑体"/>
          <w:color w:val="auto"/>
          <w:sz w:val="32"/>
          <w:szCs w:val="32"/>
          <w:highlight w:val="none"/>
        </w:rPr>
      </w:pPr>
    </w:p>
    <w:p>
      <w:pPr>
        <w:wordWrap/>
        <w:spacing w:line="600" w:lineRule="exact"/>
        <w:jc w:val="center"/>
        <w:outlineLvl w:val="0"/>
        <w:rPr>
          <w:rStyle w:val="31"/>
          <w:rFonts w:hint="eastAsia" w:ascii="黑体" w:hAnsi="黑体" w:eastAsia="黑体"/>
          <w:b w:val="0"/>
          <w:color w:val="auto"/>
          <w:highlight w:val="none"/>
          <w:lang w:eastAsia="zh-CN"/>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52"/>
    </w:p>
    <w:p>
      <w:pPr>
        <w:wordWrap/>
        <w:spacing w:line="572" w:lineRule="exact"/>
        <w:jc w:val="both"/>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widowControl/>
        <w:wordWrap/>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泸县审计局</w:t>
      </w:r>
      <w:r>
        <w:rPr>
          <w:rFonts w:hint="eastAsia" w:ascii="宋体" w:hAnsi="宋体" w:eastAsia="宋体"/>
          <w:b/>
          <w:color w:val="auto"/>
          <w:sz w:val="32"/>
          <w:szCs w:val="32"/>
          <w:highlight w:val="none"/>
          <w:shd w:val="clear" w:color="auto" w:fill="FFFFFF"/>
        </w:rPr>
        <w:t>部门整体绩效评价报告</w:t>
      </w:r>
    </w:p>
    <w:p>
      <w:pPr>
        <w:widowControl/>
        <w:wordWrap/>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（报告范围包括机关和下属单位）</w:t>
      </w:r>
    </w:p>
    <w:p>
      <w:pPr>
        <w:widowControl/>
        <w:wordWrap/>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p>
    <w:p>
      <w:pPr>
        <w:widowControl/>
        <w:numPr>
          <w:ilvl w:val="0"/>
          <w:numId w:val="6"/>
        </w:numPr>
        <w:wordWrap/>
        <w:adjustRightInd w:val="0"/>
        <w:snapToGrid w:val="0"/>
        <w:spacing w:line="560" w:lineRule="exact"/>
        <w:ind w:firstLine="640" w:firstLineChars="200"/>
        <w:contextualSpacing/>
        <w:jc w:val="both"/>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widowControl/>
        <w:numPr>
          <w:ilvl w:val="0"/>
          <w:numId w:val="7"/>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widowControl/>
        <w:wordWrap/>
        <w:adjustRightInd w:val="0"/>
        <w:snapToGrid w:val="0"/>
        <w:spacing w:line="579" w:lineRule="exact"/>
        <w:ind w:firstLine="640"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泸县审计局设</w:t>
      </w:r>
      <w:r>
        <w:rPr>
          <w:rFonts w:hint="eastAsia" w:ascii="仿宋_GB2312" w:hAnsi="仿宋_GB2312" w:eastAsia="仿宋_GB2312" w:cs="仿宋_GB2312"/>
          <w:color w:val="auto"/>
          <w:kern w:val="0"/>
          <w:sz w:val="32"/>
          <w:szCs w:val="32"/>
          <w:shd w:val="clear" w:color="auto" w:fill="FFFFFF"/>
          <w:lang w:val="en-US" w:eastAsia="zh-CN"/>
        </w:rPr>
        <w:t>2室8股1中心，即：办公室、机关党委办公室、县委审计委员会秘书股、政策法规股、内部审计监督指导股、财政金融审计股、行政事业审计股、农业外资经贸审计股、固定资产投资审计股、经济责任审计股和固定资产投资审计中心。</w:t>
      </w:r>
    </w:p>
    <w:p>
      <w:pPr>
        <w:widowControl/>
        <w:numPr>
          <w:ilvl w:val="0"/>
          <w:numId w:val="7"/>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widowControl/>
        <w:numPr>
          <w:numId w:val="0"/>
        </w:numPr>
        <w:wordWrap/>
        <w:adjustRightInd w:val="0"/>
        <w:snapToGrid w:val="0"/>
        <w:spacing w:line="560" w:lineRule="exact"/>
        <w:contextualSpacing/>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lang w:val="en-US" w:eastAsia="zh-CN"/>
        </w:rPr>
        <w:t xml:space="preserve">  机构职能：</w:t>
      </w:r>
    </w:p>
    <w:p>
      <w:pPr>
        <w:wordWrap/>
        <w:spacing w:line="579" w:lineRule="exact"/>
        <w:ind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接受县委审计委员会的直接领导，承担县委审计委员会具体工作，研究提出审计领域坚持党的领导、加强党的建设的具体措施建议，贯彻落实审计工作战略、规划、政策和改革方案，协调推进和督促落实县委和县委审计委员会的决策部署，研究提出年度审计项目计划。贯彻执行国家有关审计工作的方针政策和法律法规。参与制定有审计内容的地方规范性文件，并监督执行。负责本部门依法行政工作，落实行政执法责任制，制定并组织实施年度审计计划，组织对全县性重大投资项目、重大突发性公共事项、重要专项资金及国家、省、市、县重大政策措施执行情况的审计和专项审计调查，对直接审计、审计调查和核查的事项依法进行审计评价，作出审计决定或提出审计建议。</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对县级财政收支和法律法规规定属审计监督范围的财务收支的真实、合法和效益进行审计监督，维护国家财经秩序，提高财政资金使用效益，促进廉政建设，保障国民经济和社会健康发展，对审计、专项审计调查和核查社会审计机构相关审计报告的结果承担责任并负有督促被审计单位整改的责任。</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县长提出县级预算执行和其他财政收支情况的审计结果报告，受县政府委托向县人大提出县级预算执行和其他财政收支情况的审计工作报告、审计发现问题的纠正和处理结果报告，向政府报告对其他事项的审计和专项审计调查情况及结果，依法向社会公布审计结果，向县政府有关部门和乡镇人民政府通报审计情况和审计结果，提出制定和完善有关政策、规定、宏观调控的建议。</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4.直接审计下列事项，出具审计报告，在法定职权范围内作出审计决定或向有关主管机关提出处理处罚的建议：</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（1）县级财政预算执行情况和其他财政收支，县级各部门（含直属单位）预算的执行情况、决算和其他财政收支。</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（2）乡镇人民政府预算的执行情况、决算以及其他财政收支、县级财政转移支付资金。</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（3）使用县级财政资金的事业单位及直属单位和社会团体的财务收支。</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（4）县政府投资和以县政府投资为主的建设项目预算执行情况和决算，国家重点建设项目概（预）算、决算和县级重大工程资金筹集、使用情况。</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（5）县属国有企业和地方金融机构、县级国有资本占控股或主导地位的企业和金融机构的资产、负债和损益。</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（6）县政府部门以及其他单位受县政府及其部门委托管理的社会保障基金、社会捐赠资金以及其他有关基金、资金的财务收支。</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（7）国际组织和外国政府在泸县援助、贷款项目的财务收支。</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（8）法律、行政法规和地方性法规、政府规章规定应由县审计局审计的其他事项。</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5.按规定对县级以下领导干部及依法属县审计局审计监督的其他单位主要负责人实施经济责任审计</w:t>
      </w:r>
      <w:r>
        <w:rPr>
          <w:rFonts w:hint="eastAsia" w:ascii="仿宋_GB2312" w:hAnsi="仿宋_GB2312" w:eastAsia="仿宋_GB2312" w:cs="仿宋_GB2312"/>
          <w:color w:val="auto"/>
          <w:sz w:val="32"/>
          <w:szCs w:val="32"/>
          <w:lang w:eastAsia="zh-CN"/>
        </w:rPr>
        <w:t>及自然资源资产离任审计</w:t>
      </w:r>
      <w:r>
        <w:rPr>
          <w:rFonts w:hint="eastAsia" w:ascii="仿宋_GB2312" w:hAnsi="仿宋_GB2312" w:eastAsia="仿宋_GB2312" w:cs="仿宋_GB2312"/>
          <w:color w:val="auto"/>
          <w:sz w:val="32"/>
          <w:szCs w:val="32"/>
        </w:rPr>
        <w:t>。</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6.组织实施对国家财经法律、法规、规章、政策和宏观调控措施执行情况、财政预算管理或国有资产管理使用等与县级财政收支有关的特定事项进行专项审计调查。</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7.依法检查审计决定执行情况，督促纠正和处理审计发现的问题，依法办理被审计单位对审计决定提请行政复议、行政诉讼或县政府裁决中的有关事项，协助配合有关部门查处相关重大案件。</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8.指导和监督内部审计工作，核查社会审计机构对依法属审计监督对象的单位出具的相关审计报告。</w:t>
      </w:r>
    </w:p>
    <w:p>
      <w:pPr>
        <w:wordWrap/>
        <w:spacing w:line="240" w:lineRule="auto"/>
        <w:ind w:firstLine="800" w:firstLineChars="2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9.履行廉政建设职责，执行廉政建设责任制的各项规定。明晰职权，防控廉政风险，建立行政权力公开透明的运行机制，推行廉政建设的标准化、规范化、制度化。</w:t>
      </w:r>
    </w:p>
    <w:p>
      <w:pPr>
        <w:wordWrap/>
        <w:spacing w:line="240" w:lineRule="auto"/>
        <w:ind w:firstLine="800" w:firstLineChars="250"/>
        <w:jc w:val="both"/>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sz w:val="32"/>
          <w:szCs w:val="32"/>
        </w:rPr>
        <w:t>10.承办县政府交办的其他事项。</w:t>
      </w:r>
    </w:p>
    <w:p>
      <w:pPr>
        <w:widowControl/>
        <w:numPr>
          <w:numId w:val="0"/>
        </w:numPr>
        <w:wordWrap/>
        <w:adjustRightInd w:val="0"/>
        <w:snapToGrid w:val="0"/>
        <w:spacing w:line="560" w:lineRule="exact"/>
        <w:ind w:firstLine="640" w:firstLineChars="200"/>
        <w:contextualSpacing/>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人员概况：</w:t>
      </w:r>
    </w:p>
    <w:p>
      <w:pPr>
        <w:widowControl/>
        <w:numPr>
          <w:numId w:val="0"/>
        </w:numPr>
        <w:wordWrap/>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仿宋_GB2312" w:eastAsia="仿宋_GB2312"/>
          <w:sz w:val="32"/>
          <w:szCs w:val="32"/>
        </w:rPr>
        <w:t>泸县审计局实有编制3</w:t>
      </w:r>
      <w:r>
        <w:rPr>
          <w:rFonts w:hint="eastAsia" w:ascii="仿宋_GB2312" w:eastAsia="仿宋_GB2312"/>
          <w:sz w:val="32"/>
          <w:szCs w:val="32"/>
          <w:lang w:val="en-US" w:eastAsia="zh-CN"/>
        </w:rPr>
        <w:t>4</w:t>
      </w:r>
      <w:r>
        <w:rPr>
          <w:rFonts w:hint="eastAsia" w:ascii="仿宋_GB2312" w:eastAsia="仿宋_GB2312"/>
          <w:sz w:val="32"/>
          <w:szCs w:val="32"/>
        </w:rPr>
        <w:t>名，其中公务员编制21名、事业编制1</w:t>
      </w:r>
      <w:r>
        <w:rPr>
          <w:rFonts w:hint="eastAsia" w:ascii="仿宋_GB2312" w:eastAsia="仿宋_GB2312"/>
          <w:sz w:val="32"/>
          <w:szCs w:val="32"/>
          <w:lang w:val="en-US" w:eastAsia="zh-CN"/>
        </w:rPr>
        <w:t>2</w:t>
      </w:r>
      <w:r>
        <w:rPr>
          <w:rFonts w:hint="eastAsia" w:ascii="仿宋_GB2312" w:eastAsia="仿宋_GB2312"/>
          <w:sz w:val="32"/>
          <w:szCs w:val="32"/>
        </w:rPr>
        <w:t>名、工勤编制1名；现有干部职工3</w:t>
      </w:r>
      <w:r>
        <w:rPr>
          <w:rFonts w:hint="eastAsia" w:ascii="仿宋_GB2312" w:eastAsia="仿宋_GB2312"/>
          <w:sz w:val="32"/>
          <w:szCs w:val="32"/>
          <w:lang w:val="en-US" w:eastAsia="zh-CN"/>
        </w:rPr>
        <w:t>1</w:t>
      </w:r>
      <w:r>
        <w:rPr>
          <w:rFonts w:hint="eastAsia" w:ascii="仿宋_GB2312" w:eastAsia="仿宋_GB2312"/>
          <w:sz w:val="32"/>
          <w:szCs w:val="32"/>
        </w:rPr>
        <w:t>人，其中公务员20人、事业人员</w:t>
      </w:r>
      <w:r>
        <w:rPr>
          <w:rFonts w:hint="eastAsia" w:ascii="仿宋_GB2312" w:eastAsia="仿宋_GB2312"/>
          <w:sz w:val="32"/>
          <w:szCs w:val="32"/>
          <w:lang w:val="en-US" w:eastAsia="zh-CN"/>
        </w:rPr>
        <w:t>10</w:t>
      </w:r>
      <w:r>
        <w:rPr>
          <w:rFonts w:hint="eastAsia" w:ascii="仿宋_GB2312" w:eastAsia="仿宋_GB2312"/>
          <w:sz w:val="32"/>
          <w:szCs w:val="32"/>
        </w:rPr>
        <w:t>人、工勤人员1人；202</w:t>
      </w:r>
      <w:r>
        <w:rPr>
          <w:rFonts w:hint="eastAsia" w:ascii="仿宋_GB2312" w:eastAsia="仿宋_GB2312"/>
          <w:sz w:val="32"/>
          <w:szCs w:val="32"/>
          <w:lang w:val="en-US" w:eastAsia="zh-CN"/>
        </w:rPr>
        <w:t>2</w:t>
      </w:r>
      <w:r>
        <w:rPr>
          <w:rFonts w:hint="eastAsia" w:ascii="仿宋_GB2312" w:eastAsia="仿宋_GB2312"/>
          <w:sz w:val="32"/>
          <w:szCs w:val="32"/>
        </w:rPr>
        <w:t>年公务员调进</w:t>
      </w:r>
      <w:r>
        <w:rPr>
          <w:rFonts w:hint="eastAsia" w:ascii="仿宋_GB2312" w:eastAsia="仿宋_GB2312"/>
          <w:sz w:val="32"/>
          <w:szCs w:val="32"/>
          <w:lang w:val="en-US" w:eastAsia="zh-CN"/>
        </w:rPr>
        <w:t>2</w:t>
      </w:r>
      <w:r>
        <w:rPr>
          <w:rFonts w:hint="eastAsia" w:ascii="仿宋_GB2312" w:eastAsia="仿宋_GB2312"/>
          <w:sz w:val="32"/>
          <w:szCs w:val="32"/>
        </w:rPr>
        <w:t>人、调出</w:t>
      </w:r>
      <w:r>
        <w:rPr>
          <w:rFonts w:hint="eastAsia" w:ascii="仿宋_GB2312" w:eastAsia="仿宋_GB2312"/>
          <w:sz w:val="32"/>
          <w:szCs w:val="32"/>
          <w:lang w:val="en-US" w:eastAsia="zh-CN"/>
        </w:rPr>
        <w:t>2</w:t>
      </w:r>
      <w:r>
        <w:rPr>
          <w:rFonts w:hint="eastAsia" w:ascii="仿宋_GB2312" w:eastAsia="仿宋_GB2312"/>
          <w:sz w:val="32"/>
          <w:szCs w:val="32"/>
        </w:rPr>
        <w:t>人、退休0人，缺编1人；事业人员</w:t>
      </w:r>
      <w:r>
        <w:rPr>
          <w:rFonts w:hint="eastAsia" w:ascii="仿宋_GB2312" w:eastAsia="仿宋_GB2312"/>
          <w:sz w:val="32"/>
          <w:szCs w:val="32"/>
          <w:lang w:eastAsia="zh-CN"/>
        </w:rPr>
        <w:t>新</w:t>
      </w:r>
      <w:r>
        <w:rPr>
          <w:rFonts w:hint="eastAsia" w:ascii="仿宋_GB2312" w:eastAsia="仿宋_GB2312"/>
          <w:sz w:val="32"/>
          <w:szCs w:val="32"/>
        </w:rPr>
        <w:t>进</w:t>
      </w:r>
      <w:r>
        <w:rPr>
          <w:rFonts w:hint="eastAsia" w:ascii="仿宋_GB2312" w:eastAsia="仿宋_GB2312"/>
          <w:sz w:val="32"/>
          <w:szCs w:val="32"/>
          <w:lang w:val="en-US" w:eastAsia="zh-CN"/>
        </w:rPr>
        <w:t>0</w:t>
      </w:r>
      <w:r>
        <w:rPr>
          <w:rFonts w:hint="eastAsia" w:ascii="仿宋_GB2312" w:eastAsia="仿宋_GB2312"/>
          <w:sz w:val="32"/>
          <w:szCs w:val="32"/>
        </w:rPr>
        <w:t>人、调出</w:t>
      </w:r>
      <w:r>
        <w:rPr>
          <w:rFonts w:hint="eastAsia" w:ascii="仿宋_GB2312" w:eastAsia="仿宋_GB2312"/>
          <w:sz w:val="32"/>
          <w:szCs w:val="32"/>
          <w:lang w:val="en-US" w:eastAsia="zh-CN"/>
        </w:rPr>
        <w:t>0</w:t>
      </w:r>
      <w:r>
        <w:rPr>
          <w:rFonts w:hint="eastAsia" w:ascii="仿宋_GB2312" w:eastAsia="仿宋_GB2312"/>
          <w:sz w:val="32"/>
          <w:szCs w:val="32"/>
        </w:rPr>
        <w:t>人，缺编</w:t>
      </w:r>
      <w:r>
        <w:rPr>
          <w:rFonts w:hint="eastAsia" w:ascii="仿宋_GB2312" w:eastAsia="仿宋_GB2312"/>
          <w:sz w:val="32"/>
          <w:szCs w:val="32"/>
          <w:lang w:val="en-US" w:eastAsia="zh-CN"/>
        </w:rPr>
        <w:t>2</w:t>
      </w:r>
      <w:r>
        <w:rPr>
          <w:rFonts w:hint="eastAsia" w:ascii="仿宋_GB2312" w:eastAsia="仿宋_GB2312"/>
          <w:sz w:val="32"/>
          <w:szCs w:val="32"/>
        </w:rPr>
        <w:t>人。</w:t>
      </w:r>
    </w:p>
    <w:p>
      <w:pPr>
        <w:widowControl/>
        <w:numPr>
          <w:ilvl w:val="0"/>
          <w:numId w:val="7"/>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widowControl/>
        <w:numPr>
          <w:numId w:val="0"/>
        </w:numPr>
        <w:wordWrap/>
        <w:adjustRightInd w:val="0"/>
        <w:snapToGrid w:val="0"/>
        <w:spacing w:line="560" w:lineRule="exact"/>
        <w:ind w:firstLine="640" w:firstLineChars="200"/>
        <w:contextualSpacing/>
        <w:jc w:val="both"/>
        <w:textAlignment w:val="auto"/>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2022年我局主要工作任务是按照审计项目计划安排科学统筹审计力量，按时完成审计计划项目，同时配合完成上级审计机关和县委县政府交办的其他审计任务。</w:t>
      </w:r>
    </w:p>
    <w:p>
      <w:pPr>
        <w:widowControl/>
        <w:numPr>
          <w:ilvl w:val="0"/>
          <w:numId w:val="7"/>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pStyle w:val="6"/>
        <w:wordWrap/>
        <w:adjustRightInd w:val="0"/>
        <w:snapToGrid w:val="0"/>
        <w:spacing w:before="0" w:line="578" w:lineRule="exact"/>
        <w:ind w:firstLine="640" w:firstLineChars="200"/>
        <w:jc w:val="both"/>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仿宋_GB2312" w:hAnsi="仿宋" w:eastAsia="仿宋_GB2312" w:cs="Times New Roman"/>
          <w:color w:val="auto"/>
          <w:kern w:val="2"/>
          <w:sz w:val="32"/>
          <w:szCs w:val="32"/>
          <w:lang w:val="en-US" w:eastAsia="zh-CN" w:bidi="ar-SA"/>
        </w:rPr>
        <w:t>坚持“依法审计、围绕中心、服务大局、突出重点、求真务实”的审计工作方针，扎实推进政府投资建设工程、财政财务资金、领导干部经济责任和自然资源资产离任审计，强化审计项目质量管理，加强内部审计指导监督等方面的重点工作，完成年度计划项目审计，促进财经领域不断纠错改弊，维护财经秩序，推进县域经济健康快速发展。</w:t>
      </w:r>
    </w:p>
    <w:p>
      <w:pPr>
        <w:widowControl/>
        <w:wordWrap/>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widowControl/>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634"/>
        <w:jc w:val="both"/>
        <w:textAlignment w:val="auto"/>
        <w:rPr>
          <w:rFonts w:hint="eastAsia" w:ascii="仿宋_GB2312" w:hAnsi="宋体" w:eastAsia="仿宋_GB2312" w:cs="宋体"/>
          <w:color w:val="auto"/>
          <w:kern w:val="0"/>
          <w:sz w:val="32"/>
          <w:szCs w:val="32"/>
          <w:shd w:val="clear" w:color="auto" w:fill="FFFFFF"/>
          <w:lang w:val="zh-CN"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r>
        <w:rPr>
          <w:rFonts w:hint="eastAsia" w:ascii="仿宋_GB2312" w:hAnsi="宋体" w:eastAsia="仿宋_GB2312" w:cs="宋体"/>
          <w:color w:val="auto"/>
          <w:kern w:val="0"/>
          <w:sz w:val="32"/>
          <w:szCs w:val="32"/>
          <w:shd w:val="clear" w:color="auto" w:fill="FFFFFF"/>
          <w:lang w:val="en-US" w:eastAsia="zh-CN" w:bidi="ar-SA"/>
        </w:rPr>
        <w:t>2022年本年收入合计1109.04万元，其中：一般公共预算财政拨款收入1087.08万元，占98.02%；年初结转和结余21.96万元，占1.98%。与2021年相比，收入</w:t>
      </w:r>
      <w:r>
        <w:rPr>
          <w:rFonts w:hint="eastAsia" w:ascii="仿宋" w:hAnsi="仿宋" w:eastAsia="仿宋"/>
          <w:sz w:val="32"/>
          <w:szCs w:val="32"/>
          <w:lang w:eastAsia="zh-CN"/>
        </w:rPr>
        <w:t>增加</w:t>
      </w:r>
      <w:r>
        <w:rPr>
          <w:rFonts w:hint="eastAsia" w:ascii="仿宋" w:hAnsi="仿宋" w:eastAsia="仿宋"/>
          <w:sz w:val="32"/>
          <w:szCs w:val="32"/>
          <w:lang w:val="en-US" w:eastAsia="zh-CN"/>
        </w:rPr>
        <w:t>183.70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19.85</w:t>
      </w:r>
      <w:r>
        <w:rPr>
          <w:rFonts w:ascii="仿宋" w:hAnsi="仿宋" w:eastAsia="仿宋"/>
          <w:sz w:val="32"/>
          <w:szCs w:val="32"/>
        </w:rPr>
        <w:t>%</w:t>
      </w:r>
      <w:r>
        <w:rPr>
          <w:rFonts w:hint="eastAsia" w:ascii="仿宋_GB2312" w:hAnsi="宋体" w:eastAsia="仿宋_GB2312" w:cs="宋体"/>
          <w:color w:val="auto"/>
          <w:kern w:val="0"/>
          <w:sz w:val="32"/>
          <w:szCs w:val="32"/>
          <w:shd w:val="clear" w:color="auto" w:fill="FFFFFF"/>
          <w:lang w:val="en-US" w:eastAsia="zh-CN" w:bidi="ar-SA"/>
        </w:rPr>
        <w:t>。</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634"/>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2.部门总体支出情况：</w:t>
      </w:r>
      <w:r>
        <w:rPr>
          <w:rFonts w:hint="eastAsia" w:ascii="仿宋_GB2312" w:hAnsi="宋体" w:eastAsia="仿宋_GB2312" w:cs="宋体"/>
          <w:color w:val="auto"/>
          <w:kern w:val="0"/>
          <w:sz w:val="32"/>
          <w:szCs w:val="32"/>
          <w:shd w:val="clear" w:color="auto" w:fill="FFFFFF"/>
          <w:lang w:val="en-US" w:eastAsia="zh-CN" w:bidi="ar-SA"/>
        </w:rPr>
        <w:t>2022年本年支出合计1109.04万元，其中：基本支出601.74万元，占54.26%；项目支出507.3万元，占45.74%。与2021年相比，</w:t>
      </w:r>
      <w:r>
        <w:rPr>
          <w:rFonts w:hint="eastAsia" w:ascii="仿宋" w:hAnsi="仿宋" w:eastAsia="仿宋"/>
          <w:sz w:val="32"/>
          <w:szCs w:val="32"/>
          <w:lang w:eastAsia="zh-CN"/>
        </w:rPr>
        <w:t>增加</w:t>
      </w:r>
      <w:r>
        <w:rPr>
          <w:rFonts w:hint="eastAsia" w:ascii="仿宋" w:hAnsi="仿宋" w:eastAsia="仿宋"/>
          <w:sz w:val="32"/>
          <w:szCs w:val="32"/>
          <w:lang w:val="en-US" w:eastAsia="zh-CN"/>
        </w:rPr>
        <w:t>183.70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19.85</w:t>
      </w:r>
      <w:r>
        <w:rPr>
          <w:rFonts w:ascii="仿宋" w:hAnsi="仿宋" w:eastAsia="仿宋"/>
          <w:sz w:val="32"/>
          <w:szCs w:val="32"/>
        </w:rPr>
        <w:t>%</w:t>
      </w:r>
      <w:r>
        <w:rPr>
          <w:rFonts w:hint="eastAsia" w:ascii="仿宋_GB2312" w:hAnsi="宋体" w:eastAsia="仿宋_GB2312" w:cs="宋体"/>
          <w:color w:val="auto"/>
          <w:kern w:val="0"/>
          <w:sz w:val="32"/>
          <w:szCs w:val="32"/>
          <w:shd w:val="clear" w:color="auto" w:fill="FFFFFF"/>
          <w:lang w:val="en-US" w:eastAsia="zh-CN" w:bidi="ar-SA"/>
        </w:rPr>
        <w:t>。主要变动原因是审计职能转变，审计经费增多。</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3.部门总体结转结余情况：2022年部门无结转结余。</w:t>
      </w:r>
    </w:p>
    <w:p>
      <w:pPr>
        <w:widowControl/>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r>
        <w:rPr>
          <w:rFonts w:hint="eastAsia" w:ascii="仿宋_GB2312" w:hAnsi="宋体" w:eastAsia="仿宋_GB2312" w:cs="宋体"/>
          <w:color w:val="auto"/>
          <w:kern w:val="0"/>
          <w:sz w:val="32"/>
          <w:szCs w:val="32"/>
          <w:shd w:val="clear" w:color="auto" w:fill="FFFFFF"/>
          <w:lang w:val="en-US" w:eastAsia="zh-CN" w:bidi="ar-SA"/>
        </w:rPr>
        <w:t>2022年一般公共预算财政拨款收入1087.08万元，占98.02%；年初结转和结余21.96万元，占1.98%。</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r>
        <w:rPr>
          <w:rFonts w:hint="eastAsia" w:ascii="仿宋_GB2312" w:hAnsi="宋体" w:eastAsia="仿宋_GB2312" w:cs="宋体"/>
          <w:color w:val="auto"/>
          <w:kern w:val="0"/>
          <w:sz w:val="32"/>
          <w:szCs w:val="32"/>
          <w:shd w:val="clear" w:color="auto" w:fill="FFFFFF"/>
          <w:lang w:val="en-US" w:eastAsia="zh-CN" w:bidi="ar-SA"/>
        </w:rPr>
        <w:t>2022年一般公共预算财政拨款支出1109.04万元，占100%。</w:t>
      </w:r>
    </w:p>
    <w:p>
      <w:pPr>
        <w:widowControl/>
        <w:wordWrap/>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3.部门财政拨款结转结余情况：2022年无结转结余。</w:t>
      </w:r>
    </w:p>
    <w:p>
      <w:pPr>
        <w:widowControl/>
        <w:wordWrap/>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widowControl/>
        <w:wordWrap/>
        <w:adjustRightInd w:val="0"/>
        <w:snapToGrid w:val="0"/>
        <w:spacing w:line="560" w:lineRule="exact"/>
        <w:ind w:firstLine="642"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单位在年初预算编制阶段，对人员类项目开展了预算事前绩效评估，并制定了绩效目标。人员类项目预算绩效目标综合反映了预期完成的数量、质量，预期达到的社会效益以及服务对象满意度等情况。在执行过程中，本单位严格控制人员类项目支出的执行进度，并将人员类项目支出控制在预算范围内，无违规情况。2022年人员类经费545.82万元，包括基本工资、津贴补贴、奖金、绩效工资、机关事业单位基本养老保险缴费、职业年金缴费、 职工基本医疗保险缴费、公务员医疗补助缴费、其他社会保障缴费、奖励金、住房公积金、其他对个人和家庭的补助支出。人员类项目绩效目标运行良好，年末预算执行率100%，决算数等于预算数，无结转结余。</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br/>
      </w:r>
      <w:r>
        <w:rPr>
          <w:rFonts w:hint="eastAsia" w:ascii="仿宋" w:hAnsi="仿宋" w:eastAsia="仿宋"/>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widowControl/>
        <w:wordWrap/>
        <w:adjustRightInd w:val="0"/>
        <w:snapToGrid w:val="0"/>
        <w:spacing w:line="560"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单位在年初预算编制阶段，对运转类项目开展了预算事前绩效评估，并制定了绩效目标。运转类项目预算绩效目标综合反映了预期完成的数量、质量，预期达到的社会效益以及服务对象满意度等情况。在执行过程中，本单位严格控制运转类项目支出的执行进度，并将运转类项目支出控制在预算范围内，无违规情况。2022年基本运转经费55.92万元，包括办公费、手续费、水费、电费、邮电费、差旅费、维修（护）费、工会经费、福利费、其他交通费、其他商品和服务支出。运转类项目绩效目标运行良好，年末预算执行率100%，决算数等于预算数，无结转结余</w:t>
      </w:r>
      <w:r>
        <w:rPr>
          <w:rFonts w:hint="eastAsia" w:ascii="仿宋" w:hAnsi="仿宋" w:eastAsia="仿宋"/>
          <w:color w:val="auto"/>
          <w:sz w:val="32"/>
          <w:szCs w:val="32"/>
          <w:highlight w:val="none"/>
          <w:lang w:val="en-US" w:eastAsia="zh-CN"/>
        </w:rPr>
        <w:t>。</w:t>
      </w:r>
      <w:r>
        <w:rPr>
          <w:rFonts w:ascii="仿宋" w:hAnsi="仿宋" w:eastAsia="仿宋"/>
          <w:color w:val="auto"/>
          <w:sz w:val="32"/>
          <w:szCs w:val="32"/>
          <w:highlight w:val="none"/>
        </w:rPr>
        <w:br/>
      </w:r>
      <w:r>
        <w:rPr>
          <w:rFonts w:hint="eastAsia" w:ascii="仿宋" w:hAnsi="仿宋" w:eastAsia="仿宋"/>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本单位在年初预算编制阶段，对特定目标类项目开展了预算事前绩效评估，并制定了绩效目标。特定目标类项目预算绩效目标综合反映了预期完成的数量、质量，预期达到的社会效益以及服务对象满意度等情况。在执行过程中，本单位严格控制特定目标类项目支出的执行进度，并将特定目标类项目支出控制在预算范围内，无违规情况。特定目标类项目经费507.30万元，包括固定资产投资审计项目、审计外勤项目、办公设备购置项目、审计服务费项目、其他运转支出项目、三公经费项目。特定目标类项目绩效目标运行良好，年末预算执行率100%，决算数等于预算数，无结转结余。</w:t>
      </w:r>
    </w:p>
    <w:p>
      <w:pPr>
        <w:widowControl/>
        <w:numPr>
          <w:numId w:val="0"/>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numPr>
          <w:numId w:val="0"/>
        </w:numPr>
        <w:wordWrap/>
        <w:adjustRightInd w:val="0"/>
        <w:snapToGrid w:val="0"/>
        <w:spacing w:line="560" w:lineRule="exact"/>
        <w:ind w:firstLine="640" w:firstLineChars="200"/>
        <w:contextualSpacing/>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2022年，</w:t>
      </w:r>
      <w:r>
        <w:rPr>
          <w:rFonts w:hint="eastAsia" w:ascii="仿宋_GB2312" w:hAnsi="仿宋" w:eastAsia="仿宋_GB2312"/>
          <w:color w:val="auto"/>
          <w:sz w:val="32"/>
          <w:szCs w:val="32"/>
          <w:lang w:eastAsia="zh-CN"/>
        </w:rPr>
        <w:t>本</w:t>
      </w:r>
      <w:r>
        <w:rPr>
          <w:rFonts w:hint="eastAsia" w:ascii="仿宋_GB2312" w:hAnsi="仿宋" w:eastAsia="仿宋_GB2312"/>
          <w:color w:val="auto"/>
          <w:sz w:val="32"/>
          <w:szCs w:val="32"/>
        </w:rPr>
        <w:t>单位整体支出目标完成状况良好，达到了预期的目标及效果。整体支出保障了机构的正常运转，保证了审计事务各项工作的顺利推进，为全</w:t>
      </w:r>
      <w:r>
        <w:rPr>
          <w:rFonts w:hint="eastAsia" w:ascii="仿宋_GB2312" w:hAnsi="仿宋" w:eastAsia="仿宋_GB2312"/>
          <w:color w:val="auto"/>
          <w:sz w:val="32"/>
          <w:szCs w:val="32"/>
          <w:lang w:eastAsia="zh-CN"/>
        </w:rPr>
        <w:t>县</w:t>
      </w:r>
      <w:r>
        <w:rPr>
          <w:rFonts w:hint="eastAsia" w:ascii="仿宋_GB2312" w:hAnsi="仿宋" w:eastAsia="仿宋_GB2312"/>
          <w:color w:val="auto"/>
          <w:sz w:val="32"/>
          <w:szCs w:val="32"/>
        </w:rPr>
        <w:t>社会经济发展提供了有效的经济监督。</w:t>
      </w:r>
    </w:p>
    <w:p>
      <w:pPr>
        <w:widowControl/>
        <w:numPr>
          <w:numId w:val="0"/>
        </w:numPr>
        <w:wordWrap/>
        <w:adjustRightInd w:val="0"/>
        <w:snapToGrid w:val="0"/>
        <w:spacing w:line="560" w:lineRule="exact"/>
        <w:ind w:firstLine="640" w:firstLineChars="200"/>
        <w:contextualSpacing/>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2022年，</w:t>
      </w:r>
      <w:r>
        <w:rPr>
          <w:rFonts w:hint="eastAsia" w:ascii="仿宋_GB2312" w:hAnsi="仿宋" w:eastAsia="仿宋_GB2312"/>
          <w:color w:val="auto"/>
          <w:sz w:val="32"/>
          <w:szCs w:val="32"/>
          <w:lang w:eastAsia="zh-CN"/>
        </w:rPr>
        <w:t>我局</w:t>
      </w:r>
      <w:r>
        <w:rPr>
          <w:rFonts w:hint="eastAsia" w:ascii="仿宋_GB2312" w:hAnsi="仿宋" w:eastAsia="仿宋_GB2312"/>
          <w:color w:val="auto"/>
          <w:sz w:val="32"/>
          <w:szCs w:val="32"/>
        </w:rPr>
        <w:t>组织实施县内审计项目21个，全年审计和审计调查单位132个，已出具报告25篇，审计发现问题金额67802.17万元，其中违规金额60.79万元，管理不规范金额67741.38元，发现非金额计量问题103个。就“9•16”地震灾后恢复重建跟踪审计、泸县政府投资智慧监督平台运行情况、审计整改等县委、县政府关心关注问题形成审计专报2期、审计要情2期，向主管部门发放审计建议函2件，提出审计建议53条，审计发现并移送纪检监察机关及有关部门案件线索8件。开展审计职能审查191件。</w:t>
      </w:r>
    </w:p>
    <w:p>
      <w:pPr>
        <w:widowControl/>
        <w:numPr>
          <w:ilvl w:val="0"/>
          <w:numId w:val="8"/>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结果应用情况。</w:t>
      </w:r>
    </w:p>
    <w:p>
      <w:pPr>
        <w:widowControl/>
        <w:numPr>
          <w:numId w:val="0"/>
        </w:numPr>
        <w:wordWrap/>
        <w:adjustRightInd w:val="0"/>
        <w:snapToGrid w:val="0"/>
        <w:spacing w:line="560" w:lineRule="exact"/>
        <w:contextualSpacing/>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本单位积极开展了单位绩效自评工作，并及时将部门决算及绩效自评进行了公开，将自评中存在问题及时整改，达到绩效目标。</w:t>
      </w:r>
    </w:p>
    <w:p>
      <w:pPr>
        <w:widowControl/>
        <w:numPr>
          <w:ilvl w:val="0"/>
          <w:numId w:val="9"/>
        </w:numPr>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widowControl/>
        <w:wordWrap/>
        <w:adjustRightInd w:val="0"/>
        <w:snapToGrid w:val="0"/>
        <w:spacing w:line="560" w:lineRule="exact"/>
        <w:ind w:firstLine="640" w:firstLineChars="200"/>
        <w:contextualSpacing/>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我局高度重视绩效管理工作，全面实施预算绩效管理，积极开展事前绩效评估、事中绩效监控和事后绩效评价。严格按照自评表要求进行打分和评价，不存在不合理情况。</w:t>
      </w:r>
    </w:p>
    <w:p>
      <w:pPr>
        <w:widowControl/>
        <w:wordWrap/>
        <w:adjustRightInd w:val="0"/>
        <w:snapToGrid w:val="0"/>
        <w:spacing w:line="560" w:lineRule="exact"/>
        <w:ind w:firstLine="640" w:firstLineChars="200"/>
        <w:contextualSpacing/>
        <w:jc w:val="both"/>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widowControl/>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widowControl/>
        <w:wordWrap/>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shd w:val="clear" w:color="auto" w:fill="FFFFFF"/>
          <w:lang w:val="en-US" w:eastAsia="zh-CN" w:bidi="ar-SA"/>
        </w:rPr>
        <w:t>2022年，我局严格按照财政局批复开展预决算公开、绩效评价等相关工作，按照相关会议精神，坚持“依法审计、围绕中心、服务大局、突出重点、求真务实”的审计工作方针，扎实推进政府投资建设工程、财政财务资金、领导干部经济责任和自然资源资产离任审计，强化审计项目质量管理，加强内部审计指导监督等方面的重点工作，完成年度计划项目审计，促进财经领域不断纠错改弊，充分发挥审计免疫系统功能，维护财经秩序，推进国家治理体系、治理现代化和县域经济健康快速发展。</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left="0" w:right="0" w:firstLine="634"/>
        <w:jc w:val="both"/>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left="0" w:right="0" w:firstLine="634"/>
        <w:jc w:val="both"/>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shd w:val="clear" w:color="auto" w:fill="FFFFFF"/>
          <w:lang w:val="en-US" w:eastAsia="zh-CN" w:bidi="ar-SA"/>
        </w:rPr>
        <w:t>预算项目的绩效目标准确性有待提高，要紧密结合业务部门工作实际进行量化。</w:t>
      </w:r>
    </w:p>
    <w:p>
      <w:pPr>
        <w:pStyle w:val="15"/>
        <w:widowControl/>
        <w:numPr>
          <w:ilvl w:val="0"/>
          <w:numId w:val="10"/>
        </w:numPr>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left="0" w:right="0" w:firstLine="634"/>
        <w:jc w:val="both"/>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15"/>
        <w:widowControl/>
        <w:numPr>
          <w:numId w:val="0"/>
        </w:numPr>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right="0"/>
        <w:jc w:val="both"/>
        <w:rPr>
          <w:rFonts w:hint="eastAsia" w:ascii="仿宋_GB2312" w:hAnsi="宋体" w:eastAsia="仿宋_GB2312" w:cs="宋体"/>
          <w:color w:val="auto"/>
          <w:kern w:val="0"/>
          <w:sz w:val="32"/>
          <w:szCs w:val="32"/>
          <w:shd w:val="clear" w:color="auto" w:fill="FFFFFF"/>
          <w:lang w:val="en-US" w:eastAsia="zh-CN" w:bidi="ar-SA"/>
        </w:rPr>
      </w:pPr>
      <w:r>
        <w:rPr>
          <w:rFonts w:hint="eastAsia" w:ascii="仿宋_GB2312" w:hAnsi="宋体" w:eastAsia="仿宋_GB2312" w:cs="宋体"/>
          <w:color w:val="auto"/>
          <w:kern w:val="0"/>
          <w:sz w:val="32"/>
          <w:szCs w:val="32"/>
          <w:shd w:val="clear" w:color="auto" w:fill="FFFFFF"/>
          <w:lang w:val="en-US" w:eastAsia="zh-CN" w:bidi="ar-SA"/>
        </w:rPr>
        <w:t xml:space="preserve">    1.进一步加强审计人员的专业技能培训，不断提高自身队伍素质。</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left="0" w:right="0" w:firstLine="634"/>
        <w:jc w:val="both"/>
        <w:rPr>
          <w:rFonts w:hint="eastAsia" w:ascii="仿宋_GB2312" w:hAnsi="宋体" w:eastAsia="仿宋_GB2312" w:cs="宋体"/>
          <w:color w:val="auto"/>
          <w:kern w:val="0"/>
          <w:sz w:val="32"/>
          <w:szCs w:val="32"/>
          <w:shd w:val="clear" w:color="auto" w:fill="FFFFFF"/>
          <w:lang w:val="en-US" w:eastAsia="zh-CN" w:bidi="ar-SA"/>
        </w:rPr>
      </w:pPr>
      <w:r>
        <w:rPr>
          <w:rFonts w:hint="eastAsia" w:ascii="仿宋_GB2312" w:hAnsi="宋体" w:eastAsia="仿宋_GB2312" w:cs="宋体"/>
          <w:color w:val="auto"/>
          <w:kern w:val="0"/>
          <w:sz w:val="32"/>
          <w:szCs w:val="32"/>
          <w:shd w:val="clear" w:color="auto" w:fill="FFFFFF"/>
          <w:lang w:val="en-US" w:eastAsia="zh-CN" w:bidi="ar-SA"/>
        </w:rPr>
        <w:t>2.强化审计业务规范和职能的有效发挥，完成好县委、县政府各项工作安排。</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40" w:lineRule="auto"/>
        <w:ind w:left="0" w:right="0" w:firstLine="634"/>
        <w:jc w:val="both"/>
        <w:rPr>
          <w:rFonts w:hint="eastAsia" w:ascii="仿宋_GB2312" w:hAnsi="宋体" w:eastAsia="仿宋_GB2312" w:cs="宋体"/>
          <w:color w:val="auto"/>
          <w:kern w:val="0"/>
          <w:sz w:val="32"/>
          <w:szCs w:val="32"/>
          <w:shd w:val="clear" w:color="auto" w:fill="FFFFFF"/>
          <w:lang w:val="en-US" w:eastAsia="zh-CN" w:bidi="ar-SA"/>
        </w:rPr>
      </w:pPr>
      <w:r>
        <w:rPr>
          <w:rFonts w:hint="eastAsia" w:ascii="仿宋_GB2312" w:hAnsi="宋体" w:eastAsia="仿宋_GB2312" w:cs="宋体"/>
          <w:color w:val="auto"/>
          <w:kern w:val="0"/>
          <w:sz w:val="32"/>
          <w:szCs w:val="32"/>
          <w:shd w:val="clear" w:color="auto" w:fill="FFFFFF"/>
          <w:lang w:val="en-US" w:eastAsia="zh-CN" w:bidi="ar-SA"/>
        </w:rPr>
        <w:t>3.加强财务管理，严格财务审核，加强项目开展进度的跟踪，开展项目绩效评价，确保项目绩效目标的完成。</w:t>
      </w:r>
    </w:p>
    <w:p>
      <w:pPr>
        <w:widowControl/>
        <w:wordWrap/>
        <w:adjustRightInd w:val="0"/>
        <w:snapToGrid w:val="0"/>
        <w:spacing w:line="560" w:lineRule="exact"/>
        <w:ind w:firstLine="642" w:firstLineChars="200"/>
        <w:contextualSpacing/>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pStyle w:val="11"/>
        <w:numPr>
          <w:numId w:val="0"/>
        </w:numPr>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11"/>
        <w:numPr>
          <w:numId w:val="0"/>
        </w:numPr>
        <w:wordWrap/>
        <w:spacing w:line="560" w:lineRule="exact"/>
        <w:jc w:val="both"/>
        <w:textAlignment w:val="auto"/>
        <w:rPr>
          <w:rFonts w:hint="eastAsia" w:hAnsi="Times New Roman" w:cs="Times New Roman"/>
          <w:color w:val="auto"/>
          <w:sz w:val="32"/>
          <w:szCs w:val="32"/>
          <w:highlight w:val="none"/>
          <w:lang w:val="zh-CN" w:eastAsia="zh-CN"/>
        </w:rPr>
      </w:pPr>
    </w:p>
    <w:p>
      <w:pPr>
        <w:pStyle w:val="6"/>
        <w:wordWrap/>
        <w:jc w:val="both"/>
        <w:rPr>
          <w:rFonts w:hint="eastAsia" w:hAnsi="宋体" w:cs="宋体"/>
          <w:color w:val="auto"/>
          <w:kern w:val="0"/>
          <w:sz w:val="32"/>
          <w:szCs w:val="32"/>
          <w:highlight w:val="none"/>
          <w:shd w:val="clear" w:color="auto" w:fill="FFFFFF"/>
          <w:lang w:val="zh-CN"/>
        </w:rPr>
      </w:pPr>
    </w:p>
    <w:p>
      <w:pPr>
        <w:pStyle w:val="6"/>
        <w:wordWrap/>
        <w:jc w:val="both"/>
        <w:rPr>
          <w:rFonts w:hint="eastAsia" w:hAnsi="宋体" w:cs="宋体"/>
          <w:color w:val="auto"/>
          <w:kern w:val="0"/>
          <w:sz w:val="32"/>
          <w:szCs w:val="32"/>
          <w:highlight w:val="none"/>
          <w:shd w:val="clear" w:color="auto" w:fill="FFFFFF"/>
          <w:lang w:val="zh-CN"/>
        </w:rPr>
      </w:pPr>
    </w:p>
    <w:p>
      <w:pPr>
        <w:pStyle w:val="6"/>
        <w:wordWrap/>
        <w:jc w:val="both"/>
        <w:rPr>
          <w:rFonts w:hint="eastAsia" w:hAnsi="宋体" w:cs="宋体"/>
          <w:color w:val="auto"/>
          <w:kern w:val="0"/>
          <w:sz w:val="32"/>
          <w:szCs w:val="32"/>
          <w:highlight w:val="none"/>
          <w:shd w:val="clear" w:color="auto" w:fill="FFFFFF"/>
          <w:lang w:val="zh-CN"/>
        </w:rPr>
      </w:pPr>
    </w:p>
    <w:p>
      <w:pPr>
        <w:pStyle w:val="6"/>
        <w:wordWrap/>
        <w:jc w:val="both"/>
        <w:rPr>
          <w:rFonts w:hint="eastAsia" w:hAnsi="宋体" w:cs="宋体"/>
          <w:color w:val="auto"/>
          <w:kern w:val="0"/>
          <w:sz w:val="32"/>
          <w:szCs w:val="32"/>
          <w:highlight w:val="none"/>
          <w:shd w:val="clear" w:color="auto" w:fill="FFFFFF"/>
          <w:lang w:val="zh-CN"/>
        </w:rPr>
      </w:pPr>
    </w:p>
    <w:p>
      <w:pPr>
        <w:pStyle w:val="6"/>
        <w:wordWrap/>
        <w:jc w:val="both"/>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wordWrap/>
        <w:spacing w:line="240" w:lineRule="auto"/>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2022年固定资产投资审计专项资金预算项目绩效自评报告</w:t>
      </w:r>
    </w:p>
    <w:p>
      <w:pPr>
        <w:pStyle w:val="24"/>
        <w:widowControl w:val="0"/>
        <w:wordWrap/>
        <w:spacing w:line="578" w:lineRule="exact"/>
        <w:ind w:firstLine="640"/>
        <w:jc w:val="both"/>
        <w:textAlignment w:val="auto"/>
        <w:rPr>
          <w:rFonts w:ascii="宋体" w:hAnsi="宋体"/>
          <w:color w:val="auto"/>
          <w:kern w:val="2"/>
          <w:sz w:val="32"/>
          <w:szCs w:val="32"/>
          <w:highlight w:val="none"/>
        </w:rPr>
      </w:pPr>
    </w:p>
    <w:p>
      <w:pPr>
        <w:widowControl w:val="0"/>
        <w:wordWrap/>
        <w:adjustRightInd w:val="0"/>
        <w:snapToGrid w:val="0"/>
        <w:spacing w:line="578" w:lineRule="exact"/>
        <w:ind w:firstLine="720"/>
        <w:jc w:val="both"/>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1．说明项目主管部门（单位）在该项目管理中的职能。</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olor w:val="auto"/>
          <w:sz w:val="32"/>
          <w:szCs w:val="32"/>
          <w:lang w:val="zh-CN"/>
        </w:rPr>
        <w:t>为固定资产投资审计人员提供专业设备、软件、出行保障等工作条件，聘请专业工程师费用，保证固定资产投资审计工作正常开展。</w:t>
      </w:r>
    </w:p>
    <w:p>
      <w:pPr>
        <w:widowControl/>
        <w:numPr>
          <w:ilvl w:val="0"/>
          <w:numId w:val="11"/>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项目立项、资金申报的依据，</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项目涉及</w:t>
      </w:r>
      <w:r>
        <w:rPr>
          <w:rFonts w:hint="eastAsia" w:ascii="仿宋_GB2312" w:hAnsi="仿宋_GB2312" w:cs="仿宋_GB2312"/>
          <w:color w:val="auto"/>
          <w:kern w:val="0"/>
          <w:sz w:val="32"/>
          <w:szCs w:val="32"/>
          <w:highlight w:val="none"/>
          <w:u w:val="none"/>
          <w:shd w:val="clear" w:color="auto" w:fill="FFFFFF"/>
          <w:lang w:val="en-US" w:eastAsia="zh-CN"/>
        </w:rPr>
        <w:t>的中省</w:t>
      </w:r>
      <w:r>
        <w:rPr>
          <w:rFonts w:hint="eastAsia" w:ascii="仿宋_GB2312" w:hAnsi="仿宋_GB2312" w:eastAsia="仿宋_GB2312" w:cs="仿宋_GB2312"/>
          <w:color w:val="auto"/>
          <w:kern w:val="0"/>
          <w:sz w:val="32"/>
          <w:szCs w:val="32"/>
          <w:highlight w:val="none"/>
          <w:u w:val="none"/>
          <w:shd w:val="clear" w:color="auto" w:fill="FFFFFF"/>
          <w:lang w:val="en-US" w:eastAsia="zh-CN"/>
        </w:rPr>
        <w:t>相关政策文件</w:t>
      </w:r>
      <w:r>
        <w:rPr>
          <w:rFonts w:hint="eastAsia" w:ascii="仿宋_GB2312" w:hAnsi="仿宋_GB2312" w:cs="仿宋_GB2312"/>
          <w:color w:val="auto"/>
          <w:kern w:val="0"/>
          <w:sz w:val="32"/>
          <w:szCs w:val="32"/>
          <w:highlight w:val="none"/>
          <w:u w:val="none"/>
          <w:shd w:val="clear" w:color="auto" w:fill="FFFFFF"/>
          <w:lang w:val="en-US" w:eastAsia="zh-CN"/>
        </w:rPr>
        <w:t>和</w:t>
      </w:r>
      <w:r>
        <w:rPr>
          <w:rFonts w:hint="eastAsia" w:ascii="仿宋_GB2312" w:hAnsi="仿宋_GB2312" w:eastAsia="仿宋_GB2312" w:cs="仿宋_GB2312"/>
          <w:color w:val="auto"/>
          <w:kern w:val="0"/>
          <w:sz w:val="32"/>
          <w:szCs w:val="32"/>
          <w:highlight w:val="none"/>
          <w:u w:val="none"/>
          <w:shd w:val="clear" w:color="auto" w:fill="FFFFFF"/>
          <w:lang w:val="en-US" w:eastAsia="zh-CN"/>
        </w:rPr>
        <w:t>规划</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项目设立论证资料</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资金安排相关文件</w:t>
      </w:r>
      <w:r>
        <w:rPr>
          <w:rFonts w:hint="eastAsia" w:ascii="仿宋_GB2312" w:hAnsi="仿宋_GB2312" w:cs="仿宋_GB2312"/>
          <w:color w:val="auto"/>
          <w:kern w:val="0"/>
          <w:sz w:val="32"/>
          <w:szCs w:val="32"/>
          <w:highlight w:val="none"/>
          <w:u w:val="none"/>
          <w:shd w:val="clear" w:color="auto" w:fill="FFFFFF"/>
          <w:lang w:val="en-US" w:eastAsia="zh-CN"/>
        </w:rPr>
        <w:t>等</w:t>
      </w:r>
      <w:r>
        <w:rPr>
          <w:rFonts w:hint="eastAsia" w:ascii="仿宋_GB2312" w:hAnsi="仿宋_GB2312" w:eastAsia="仿宋_GB2312" w:cs="仿宋_GB2312"/>
          <w:color w:val="auto"/>
          <w:kern w:val="0"/>
          <w:sz w:val="32"/>
          <w:szCs w:val="32"/>
          <w:highlight w:val="none"/>
          <w:u w:val="none"/>
          <w:shd w:val="clear" w:color="auto" w:fill="FFFFFF"/>
          <w:lang w:val="en-US" w:eastAsia="zh-CN"/>
        </w:rPr>
        <w:t>。附相关文件资料</w:t>
      </w:r>
      <w:r>
        <w:rPr>
          <w:rFonts w:hint="eastAsia" w:ascii="仿宋_GB2312" w:hAnsi="仿宋_GB2312" w:eastAsia="仿宋_GB2312" w:cs="仿宋_GB2312"/>
          <w:color w:val="auto"/>
          <w:kern w:val="0"/>
          <w:sz w:val="32"/>
          <w:szCs w:val="32"/>
          <w:highlight w:val="none"/>
          <w:u w:val="none"/>
          <w:shd w:val="clear" w:color="auto" w:fill="FFFFFF"/>
          <w:lang w:val="zh-CN"/>
        </w:rPr>
        <w:t>。</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eastAsia="仿宋_GB2312" w:cs="仿宋_GB2312"/>
          <w:i w:val="0"/>
          <w:iCs w:val="0"/>
          <w:caps w:val="0"/>
          <w:color w:val="auto"/>
          <w:spacing w:val="0"/>
          <w:sz w:val="32"/>
          <w:szCs w:val="32"/>
          <w:shd w:val="clear" w:color="090000" w:fill="FFFFFF"/>
          <w:lang w:val="zh-CN"/>
        </w:rPr>
      </w:pPr>
      <w:r>
        <w:rPr>
          <w:rFonts w:hint="eastAsia" w:ascii="仿宋_GB2312" w:eastAsia="仿宋_GB2312" w:cs="仿宋_GB2312"/>
          <w:i w:val="0"/>
          <w:iCs w:val="0"/>
          <w:caps w:val="0"/>
          <w:color w:val="auto"/>
          <w:spacing w:val="0"/>
          <w:sz w:val="32"/>
          <w:szCs w:val="32"/>
          <w:shd w:val="clear" w:color="090000" w:fill="FFFFFF"/>
        </w:rPr>
        <w:t>根据县委、县政府工作</w:t>
      </w:r>
      <w:r>
        <w:rPr>
          <w:rFonts w:hint="eastAsia" w:ascii="仿宋_GB2312" w:hAnsi="宋体" w:eastAsia="仿宋_GB2312"/>
          <w:color w:val="auto"/>
          <w:sz w:val="32"/>
          <w:szCs w:val="32"/>
          <w:lang w:val="zh-CN"/>
        </w:rPr>
        <w:t>安排</w:t>
      </w:r>
      <w:r>
        <w:rPr>
          <w:rFonts w:hint="eastAsia" w:ascii="仿宋_GB2312" w:eastAsia="仿宋_GB2312" w:cs="仿宋_GB2312"/>
          <w:i w:val="0"/>
          <w:iCs w:val="0"/>
          <w:caps w:val="0"/>
          <w:color w:val="auto"/>
          <w:spacing w:val="0"/>
          <w:sz w:val="32"/>
          <w:szCs w:val="32"/>
          <w:shd w:val="clear" w:color="090000" w:fill="FFFFFF"/>
        </w:rPr>
        <w:t>及预算管理要求，泸县审计局所有经费均</w:t>
      </w:r>
      <w:r>
        <w:rPr>
          <w:rFonts w:hint="eastAsia" w:ascii="仿宋_GB2312" w:eastAsia="仿宋_GB2312" w:cs="仿宋_GB2312"/>
          <w:i w:val="0"/>
          <w:iCs w:val="0"/>
          <w:caps w:val="0"/>
          <w:color w:val="auto"/>
          <w:spacing w:val="0"/>
          <w:sz w:val="32"/>
          <w:szCs w:val="32"/>
          <w:shd w:val="clear" w:color="090000" w:fill="FFFFFF"/>
          <w:lang w:eastAsia="zh-CN"/>
        </w:rPr>
        <w:t>由</w:t>
      </w:r>
      <w:r>
        <w:rPr>
          <w:rFonts w:hint="eastAsia" w:ascii="仿宋_GB2312" w:eastAsia="仿宋_GB2312" w:cs="仿宋_GB2312"/>
          <w:i w:val="0"/>
          <w:iCs w:val="0"/>
          <w:caps w:val="0"/>
          <w:color w:val="auto"/>
          <w:spacing w:val="0"/>
          <w:sz w:val="32"/>
          <w:szCs w:val="32"/>
          <w:shd w:val="clear" w:color="090000" w:fill="FFFFFF"/>
        </w:rPr>
        <w:t>财政列支，纳入财政年初预算。</w:t>
      </w:r>
    </w:p>
    <w:p>
      <w:pPr>
        <w:widowControl/>
        <w:numPr>
          <w:ilvl w:val="0"/>
          <w:numId w:val="11"/>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或项目</w:t>
      </w:r>
      <w:r>
        <w:rPr>
          <w:rFonts w:hint="eastAsia" w:ascii="仿宋_GB2312" w:hAnsi="仿宋_GB2312" w:eastAsia="仿宋_GB2312" w:cs="仿宋_GB2312"/>
          <w:color w:val="auto"/>
          <w:kern w:val="0"/>
          <w:sz w:val="32"/>
          <w:szCs w:val="32"/>
          <w:highlight w:val="none"/>
          <w:u w:val="none"/>
          <w:shd w:val="clear" w:color="auto" w:fill="FFFFFF"/>
          <w:lang w:val="zh-CN"/>
        </w:rPr>
        <w:t>管理办法制定情况，资金支持具体项目的条件、范围与支持方式概况。</w:t>
      </w:r>
      <w:r>
        <w:rPr>
          <w:rFonts w:hint="eastAsia" w:ascii="仿宋_GB2312" w:hAnsi="仿宋_GB2312" w:eastAsia="仿宋_GB2312" w:cs="仿宋_GB2312"/>
          <w:color w:val="auto"/>
          <w:kern w:val="0"/>
          <w:sz w:val="32"/>
          <w:szCs w:val="32"/>
          <w:highlight w:val="none"/>
          <w:u w:val="none"/>
          <w:shd w:val="clear" w:color="auto" w:fill="FFFFFF"/>
          <w:lang w:val="en-US" w:eastAsia="zh-CN"/>
        </w:rPr>
        <w:t>附资金或项目管理办法。</w:t>
      </w:r>
    </w:p>
    <w:p>
      <w:pPr>
        <w:widowControl/>
        <w:numPr>
          <w:numId w:val="0"/>
        </w:numPr>
        <w:wordWrap/>
        <w:adjustRightInd w:val="0"/>
        <w:snapToGrid w:val="0"/>
        <w:spacing w:line="578" w:lineRule="exact"/>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eastAsia="仿宋_GB2312" w:cs="仿宋_GB2312"/>
          <w:i w:val="0"/>
          <w:iCs w:val="0"/>
          <w:caps w:val="0"/>
          <w:color w:val="auto"/>
          <w:spacing w:val="0"/>
          <w:sz w:val="32"/>
          <w:szCs w:val="32"/>
          <w:shd w:val="clear" w:color="090000" w:fill="FFFFFF"/>
          <w:lang w:val="en-US" w:eastAsia="zh-CN"/>
        </w:rPr>
        <w:t xml:space="preserve">    </w:t>
      </w:r>
      <w:r>
        <w:rPr>
          <w:rFonts w:hint="eastAsia" w:ascii="仿宋_GB2312" w:eastAsia="仿宋_GB2312" w:cs="仿宋_GB2312"/>
          <w:i w:val="0"/>
          <w:iCs w:val="0"/>
          <w:caps w:val="0"/>
          <w:color w:val="auto"/>
          <w:spacing w:val="0"/>
          <w:sz w:val="32"/>
          <w:szCs w:val="32"/>
          <w:shd w:val="clear" w:color="090000" w:fill="FFFFFF"/>
        </w:rPr>
        <w:t>为进一步加强财政预算资金管理，提高资金使用效率，由单位行政办公室牵头根据收支情况制定资金计划。严格资金支付程序，始终将内部控制制度贯穿资金使用，大额资金支付均通过局党组会议讨论，杜绝“一支笔”签审使用资金。加强备用金、存货和固定资产管理，严格票据审核和原始凭据粘贴，坚决按照预算编制、申报范围列支经常性项目经费。</w:t>
      </w:r>
    </w:p>
    <w:p>
      <w:pPr>
        <w:widowControl/>
        <w:numPr>
          <w:ilvl w:val="0"/>
          <w:numId w:val="11"/>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资金分配的原则及考虑因素。</w:t>
      </w:r>
    </w:p>
    <w:p>
      <w:pPr>
        <w:widowControl/>
        <w:numPr>
          <w:numId w:val="0"/>
        </w:numPr>
        <w:wordWrap/>
        <w:adjustRightInd w:val="0"/>
        <w:snapToGrid w:val="0"/>
        <w:spacing w:line="578" w:lineRule="exact"/>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val="zh-CN"/>
        </w:rPr>
        <w:t>在预算限额内，提供固定资产投资审计人员所需的专业设备、软件、出行保障等工作条件。</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olor w:val="auto"/>
          <w:sz w:val="32"/>
          <w:szCs w:val="32"/>
          <w:lang w:val="zh-CN"/>
        </w:rPr>
        <w:t>提供固定资产投资审计人员必要的专业设备、软件、出行保障等工作条件、聘请专业工程师。</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实施年度计划内的审计项目个数≥</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val="zh-CN"/>
        </w:rPr>
        <w:t>个，政府投资建设工程审计项目完成时间202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年，固定资产投资审计成本≤</w:t>
      </w:r>
      <w:r>
        <w:rPr>
          <w:rFonts w:hint="eastAsia" w:ascii="仿宋_GB2312" w:hAnsi="宋体" w:eastAsia="仿宋_GB2312"/>
          <w:color w:val="auto"/>
          <w:sz w:val="32"/>
          <w:szCs w:val="32"/>
          <w:lang w:val="en-US" w:eastAsia="zh-CN"/>
        </w:rPr>
        <w:t>210</w:t>
      </w:r>
      <w:r>
        <w:rPr>
          <w:rFonts w:hint="eastAsia" w:ascii="仿宋_GB2312" w:hAnsi="宋体" w:eastAsia="仿宋_GB2312"/>
          <w:color w:val="auto"/>
          <w:sz w:val="32"/>
          <w:szCs w:val="32"/>
          <w:lang w:val="zh-CN"/>
        </w:rPr>
        <w:t>万。</w:t>
      </w:r>
    </w:p>
    <w:p>
      <w:pPr>
        <w:widowControl/>
        <w:numPr>
          <w:ilvl w:val="0"/>
          <w:numId w:val="12"/>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分析评价申报内容是否与实际相符，申报目标是否合理可行。</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olor w:val="auto"/>
          <w:sz w:val="32"/>
          <w:szCs w:val="32"/>
          <w:lang w:val="zh-CN"/>
        </w:rPr>
        <w:t>申报内容与实际相符，申报目标合理可行。</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泸县审计局主要采取自评方式，成立项目自评小组，结合县委、县政府工作安排及审计局年初工作计划，开展自评工作。按照上级下达的项目支出绩效评价指标体系，针对申报内容、实施情况从数量、质量、成本、经济和社会效益指标等方面做出自我评价。</w:t>
      </w:r>
    </w:p>
    <w:p>
      <w:pPr>
        <w:wordWrap/>
        <w:adjustRightInd w:val="0"/>
        <w:snapToGrid w:val="0"/>
        <w:spacing w:line="578" w:lineRule="exact"/>
        <w:ind w:firstLine="720"/>
        <w:jc w:val="both"/>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项目资金预算</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万元，财政批复金额</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w:t>
      </w:r>
    </w:p>
    <w:p>
      <w:pPr>
        <w:wordWrap/>
        <w:adjustRightInd w:val="0"/>
        <w:snapToGrid w:val="0"/>
        <w:spacing w:line="578" w:lineRule="exact"/>
        <w:ind w:firstLine="720"/>
        <w:jc w:val="both"/>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w:t>
      </w:r>
      <w:r>
        <w:rPr>
          <w:rFonts w:hint="eastAsia" w:ascii="仿宋_GB2312" w:eastAsia="仿宋_GB2312" w:cs="仿宋_GB2312"/>
          <w:i w:val="0"/>
          <w:iCs w:val="0"/>
          <w:caps w:val="0"/>
          <w:color w:val="auto"/>
          <w:spacing w:val="0"/>
          <w:sz w:val="32"/>
          <w:szCs w:val="32"/>
          <w:shd w:val="clear" w:color="090000" w:fill="FFFFFF"/>
        </w:rPr>
        <w:t>项目资金年预算</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万元，均为财政拨款资金。</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年12月31日，财政划拨资金</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万元，完成资金计划的100%，</w:t>
      </w:r>
      <w:r>
        <w:rPr>
          <w:rFonts w:hint="eastAsia" w:ascii="仿宋_GB2312" w:hAnsi="宋体" w:eastAsia="仿宋_GB2312"/>
          <w:color w:val="auto"/>
          <w:sz w:val="32"/>
          <w:szCs w:val="32"/>
          <w:lang w:val="zh-CN"/>
        </w:rPr>
        <w:t>为固定资产投资审计人员提供了必要的专业设备、软件、出行保障等工作条件</w:t>
      </w:r>
      <w:r>
        <w:rPr>
          <w:rFonts w:hint="eastAsia" w:ascii="仿宋_GB2312" w:eastAsia="仿宋_GB2312" w:cs="仿宋_GB2312"/>
          <w:i w:val="0"/>
          <w:iCs w:val="0"/>
          <w:caps w:val="0"/>
          <w:color w:val="auto"/>
          <w:spacing w:val="0"/>
          <w:sz w:val="32"/>
          <w:szCs w:val="32"/>
          <w:shd w:val="clear" w:color="090000" w:fill="FFFFFF"/>
        </w:rPr>
        <w:t>。</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年12月31日，项目资金支出</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泸县审计局财务管理制度健全，严格执行财务管理制度，账务处理及时，会计核算规范。</w:t>
      </w:r>
    </w:p>
    <w:p>
      <w:pPr>
        <w:wordWrap/>
        <w:adjustRightInd w:val="0"/>
        <w:snapToGrid w:val="0"/>
        <w:spacing w:line="578" w:lineRule="exact"/>
        <w:ind w:firstLine="720"/>
        <w:jc w:val="both"/>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wordWrap/>
        <w:adjustRightInd w:val="0"/>
        <w:snapToGrid w:val="0"/>
        <w:spacing w:line="579" w:lineRule="exact"/>
        <w:ind w:firstLine="72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wordWrap/>
        <w:adjustRightInd w:val="0"/>
        <w:snapToGrid w:val="0"/>
        <w:spacing w:line="579" w:lineRule="exact"/>
        <w:ind w:firstLine="720"/>
        <w:jc w:val="both"/>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wordWrap/>
        <w:adjustRightInd w:val="0"/>
        <w:snapToGrid w:val="0"/>
        <w:spacing w:line="579" w:lineRule="exact"/>
        <w:ind w:firstLine="720"/>
        <w:jc w:val="both"/>
        <w:textAlignment w:val="auto"/>
        <w:rPr>
          <w:rFonts w:hint="eastAsia" w:ascii="楷体_GB2312" w:hAnsi="宋体" w:eastAsia="楷体_GB2312"/>
          <w:b/>
          <w:sz w:val="32"/>
          <w:szCs w:val="32"/>
          <w:lang w:val="zh-CN"/>
        </w:rPr>
      </w:pPr>
      <w:r>
        <w:rPr>
          <w:rFonts w:hint="eastAsia" w:ascii="仿宋_GB2312" w:hAnsi="宋体" w:eastAsia="仿宋_GB2312"/>
          <w:color w:val="auto"/>
          <w:sz w:val="32"/>
          <w:szCs w:val="32"/>
          <w:lang w:val="zh-CN"/>
        </w:rPr>
        <w:t>由业务股室提出专业设备和软件采购及维护和用车需求，金额较小的由分管局领导审批后，由业务股室直接联系采购和维护，涉及金额较大的事项经党组会讨论通过后，由办公室按规定统一采购、验收。租用车辆由业务股室填写派车单，经分管局领导批准后，由办公室统一安排车辆、结算费用。根据项目情况由业务股室申请聘请专业工程师，考核工程师工作情况，根据审计项目核减情况结算聘请费用。</w:t>
      </w:r>
    </w:p>
    <w:p>
      <w:pPr>
        <w:wordWrap/>
        <w:adjustRightInd w:val="0"/>
        <w:snapToGrid w:val="0"/>
        <w:spacing w:line="579" w:lineRule="exact"/>
        <w:ind w:firstLine="720"/>
        <w:jc w:val="both"/>
        <w:textAlignment w:val="auto"/>
        <w:rPr>
          <w:rFonts w:hint="eastAsia" w:ascii="仿宋_GB2312" w:hAnsi="宋体" w:eastAsia="仿宋_GB2312"/>
          <w:color w:val="auto"/>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color w:val="auto"/>
          <w:sz w:val="32"/>
          <w:szCs w:val="32"/>
          <w:lang w:val="zh-CN"/>
        </w:rPr>
        <w:t>本着节约成本、集体决策的原则，项目实施由多个部门、多个人员参与，相互监督；对于聘请工程师费用，签订合同，严格考核、据实考核、结算费用。</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color w:val="auto"/>
          <w:sz w:val="32"/>
          <w:szCs w:val="32"/>
          <w:lang w:val="zh-CN"/>
        </w:rPr>
        <w:t>严格按照政府采购规定进行集中采购和分散采购，履行必要审批手续。</w:t>
      </w:r>
    </w:p>
    <w:p>
      <w:pPr>
        <w:wordWrap/>
        <w:adjustRightInd w:val="0"/>
        <w:snapToGrid w:val="0"/>
        <w:spacing w:line="578" w:lineRule="exact"/>
        <w:ind w:firstLine="720"/>
        <w:jc w:val="both"/>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color w:val="FF0000"/>
          <w:kern w:val="0"/>
          <w:sz w:val="32"/>
          <w:szCs w:val="32"/>
          <w:highlight w:val="none"/>
          <w:u w:val="none"/>
          <w:shd w:val="clear" w:color="auto" w:fill="FFFFFF"/>
          <w:lang w:val="zh-CN"/>
        </w:rPr>
      </w:pPr>
      <w:r>
        <w:rPr>
          <w:rFonts w:hint="eastAsia" w:ascii="仿宋_GB2312" w:hAnsi="宋体" w:eastAsia="仿宋_GB2312"/>
          <w:color w:val="auto"/>
          <w:sz w:val="32"/>
          <w:szCs w:val="32"/>
          <w:lang w:val="en-US" w:eastAsia="zh-CN"/>
        </w:rPr>
        <w:t>2022年完成固定资产投资审计</w:t>
      </w:r>
      <w:r>
        <w:rPr>
          <w:rFonts w:hint="eastAsia" w:ascii="仿宋_GB2312" w:hAnsi="宋体" w:eastAsia="仿宋_GB2312"/>
          <w:color w:val="auto"/>
          <w:sz w:val="32"/>
          <w:szCs w:val="32"/>
          <w:lang w:val="zh-CN"/>
        </w:rPr>
        <w:t>项目</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val="zh-CN"/>
        </w:rPr>
        <w:t>个，政府投资建设工程审计项目完成时间202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年，固定资产投资审计成本</w:t>
      </w:r>
      <w:r>
        <w:rPr>
          <w:rFonts w:hint="eastAsia" w:ascii="仿宋_GB2312" w:hAnsi="宋体" w:eastAsia="仿宋_GB2312"/>
          <w:color w:val="auto"/>
          <w:sz w:val="32"/>
          <w:szCs w:val="32"/>
          <w:lang w:val="en-US" w:eastAsia="zh-CN"/>
        </w:rPr>
        <w:t>210</w:t>
      </w:r>
      <w:r>
        <w:rPr>
          <w:rFonts w:hint="eastAsia" w:ascii="仿宋_GB2312" w:hAnsi="宋体" w:eastAsia="仿宋_GB2312"/>
          <w:color w:val="auto"/>
          <w:sz w:val="32"/>
          <w:szCs w:val="32"/>
          <w:lang w:val="zh-CN"/>
        </w:rPr>
        <w:t>万，年末无资金结余，无违规记录。</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widowControl/>
        <w:numPr>
          <w:numId w:val="0"/>
        </w:numPr>
        <w:wordWrap/>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color w:val="auto"/>
          <w:sz w:val="32"/>
          <w:szCs w:val="32"/>
          <w:lang w:val="en-US" w:eastAsia="zh-CN"/>
        </w:rPr>
        <w:t>2022年，完成固定资产投资审计项目6个，固定资产投资项目的实施有利于促进国家建设项目加强质量管理，为政府完善投资决策提供了重要依据，减少了损失浪费，提高了投资效益。服务对象的满意度100%，具有较好的经济、社会、生态和可持续效益。</w:t>
      </w:r>
    </w:p>
    <w:p>
      <w:pPr>
        <w:wordWrap/>
        <w:adjustRightInd w:val="0"/>
        <w:snapToGrid w:val="0"/>
        <w:spacing w:line="578" w:lineRule="exact"/>
        <w:ind w:firstLine="720"/>
        <w:jc w:val="both"/>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wordWrap/>
        <w:adjustRightInd w:val="0"/>
        <w:snapToGrid w:val="0"/>
        <w:spacing w:line="578" w:lineRule="exact"/>
        <w:ind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项目资金支出</w:t>
      </w:r>
      <w:r>
        <w:rPr>
          <w:rFonts w:hint="eastAsia" w:ascii="仿宋_GB2312" w:eastAsia="仿宋_GB2312" w:cs="仿宋_GB2312"/>
          <w:i w:val="0"/>
          <w:iCs w:val="0"/>
          <w:caps w:val="0"/>
          <w:color w:val="auto"/>
          <w:spacing w:val="0"/>
          <w:sz w:val="32"/>
          <w:szCs w:val="32"/>
          <w:shd w:val="clear" w:color="090000" w:fill="FFFFFF"/>
          <w:lang w:val="en-US" w:eastAsia="zh-CN"/>
        </w:rPr>
        <w:t>210</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。在</w:t>
      </w:r>
      <w:r>
        <w:rPr>
          <w:rFonts w:hint="eastAsia" w:ascii="仿宋_GB2312" w:eastAsia="仿宋_GB2312" w:cs="仿宋_GB2312"/>
          <w:i w:val="0"/>
          <w:iCs w:val="0"/>
          <w:caps w:val="0"/>
          <w:color w:val="auto"/>
          <w:spacing w:val="0"/>
          <w:sz w:val="32"/>
          <w:szCs w:val="32"/>
          <w:shd w:val="clear" w:color="090000" w:fill="FFFFFF"/>
          <w:lang w:val="en-US" w:eastAsia="zh-CN"/>
        </w:rPr>
        <w:t>2022年</w:t>
      </w:r>
      <w:r>
        <w:rPr>
          <w:rFonts w:hint="eastAsia" w:ascii="仿宋_GB2312" w:eastAsia="仿宋_GB2312" w:cs="仿宋_GB2312"/>
          <w:i w:val="0"/>
          <w:iCs w:val="0"/>
          <w:caps w:val="0"/>
          <w:color w:val="auto"/>
          <w:spacing w:val="0"/>
          <w:sz w:val="32"/>
          <w:szCs w:val="32"/>
          <w:shd w:val="clear" w:color="090000" w:fill="FFFFFF"/>
          <w:lang w:eastAsia="zh-CN"/>
        </w:rPr>
        <w:t>，保障了</w:t>
      </w:r>
      <w:r>
        <w:rPr>
          <w:rFonts w:hint="eastAsia" w:ascii="仿宋_GB2312" w:hAnsi="宋体" w:eastAsia="仿宋_GB2312"/>
          <w:color w:val="auto"/>
          <w:sz w:val="32"/>
          <w:szCs w:val="32"/>
          <w:lang w:val="zh-CN"/>
        </w:rPr>
        <w:t>固定资产投资审计工作的正常开展</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widowControl/>
        <w:wordWrap/>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宋体" w:eastAsia="仿宋_GB2312" w:cs="宋体"/>
          <w:color w:val="auto"/>
          <w:sz w:val="32"/>
          <w:szCs w:val="32"/>
        </w:rPr>
        <w:t>政府投资建设项目</w:t>
      </w:r>
      <w:r>
        <w:rPr>
          <w:rFonts w:hint="eastAsia" w:ascii="仿宋_GB2312" w:hAnsi="宋体" w:eastAsia="仿宋_GB2312" w:cs="宋体"/>
          <w:color w:val="auto"/>
          <w:sz w:val="32"/>
          <w:szCs w:val="32"/>
          <w:lang w:eastAsia="zh-CN"/>
        </w:rPr>
        <w:t>投资额增加、涉及的领域更广，对专业工程审计人员的专业技能要求更高，专业工程审计人员的专业技能有待提高</w:t>
      </w:r>
      <w:r>
        <w:rPr>
          <w:rFonts w:hint="eastAsia" w:ascii="仿宋_GB2312" w:hAnsi="宋体" w:eastAsia="仿宋_GB2312" w:cs="宋体"/>
          <w:color w:val="auto"/>
          <w:sz w:val="32"/>
          <w:szCs w:val="32"/>
        </w:rPr>
        <w:t>。</w:t>
      </w:r>
    </w:p>
    <w:p>
      <w:pPr>
        <w:wordWrap/>
        <w:adjustRightInd w:val="0"/>
        <w:snapToGrid w:val="0"/>
        <w:spacing w:line="578" w:lineRule="exact"/>
        <w:ind w:firstLine="720"/>
        <w:jc w:val="both"/>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wordWrap/>
        <w:spacing w:line="579" w:lineRule="exact"/>
        <w:ind w:firstLine="640"/>
        <w:jc w:val="both"/>
        <w:textAlignment w:val="auto"/>
        <w:rPr>
          <w:rStyle w:val="31"/>
          <w:rFonts w:ascii="黑体" w:hAnsi="黑体" w:eastAsia="黑体"/>
          <w:b w:val="0"/>
          <w:color w:val="auto"/>
          <w:highlight w:val="none"/>
        </w:rPr>
      </w:pPr>
      <w:r>
        <w:rPr>
          <w:rFonts w:hint="eastAsia" w:ascii="仿宋_GB2312" w:hAnsi="宋体" w:eastAsia="仿宋_GB2312" w:cs="宋体"/>
          <w:color w:val="auto"/>
          <w:sz w:val="32"/>
          <w:szCs w:val="32"/>
        </w:rPr>
        <w:t>加强相关人员专业技能培训，提高工作效率。</w:t>
      </w:r>
    </w:p>
    <w:tbl>
      <w:tblPr>
        <w:tblW w:w="89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427"/>
        <w:gridCol w:w="293"/>
        <w:gridCol w:w="1040"/>
        <w:gridCol w:w="1173"/>
        <w:gridCol w:w="427"/>
        <w:gridCol w:w="2307"/>
        <w:gridCol w:w="266"/>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982" w:type="dxa"/>
            <w:gridSpan w:val="9"/>
            <w:tcBorders>
              <w:top w:val="nil"/>
              <w:left w:val="nil"/>
              <w:bottom w:val="nil"/>
              <w:right w:val="nil"/>
            </w:tcBorders>
            <w:vAlign w:val="center"/>
          </w:tcPr>
          <w:p>
            <w:pPr>
              <w:widowControl/>
              <w:wordWrap/>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982" w:type="dxa"/>
            <w:gridSpan w:val="9"/>
            <w:tcBorders>
              <w:top w:val="nil"/>
              <w:left w:val="nil"/>
              <w:bottom w:val="single" w:color="000000" w:sz="4" w:space="0"/>
              <w:right w:val="nil"/>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243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项目名称</w:t>
            </w:r>
          </w:p>
        </w:tc>
        <w:tc>
          <w:tcPr>
            <w:tcW w:w="6543"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“固定资产投资审计项目”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43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预算单位</w:t>
            </w:r>
          </w:p>
        </w:tc>
        <w:tc>
          <w:tcPr>
            <w:tcW w:w="6543"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泸县审计局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19" w:type="dxa"/>
            <w:tcBorders>
              <w:top w:val="nil"/>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预算执行情况(万元)</w:t>
            </w: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预算数:</w:t>
            </w:r>
          </w:p>
        </w:tc>
        <w:tc>
          <w:tcPr>
            <w:tcW w:w="2213" w:type="dxa"/>
            <w:gridSpan w:val="2"/>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c>
          <w:tcPr>
            <w:tcW w:w="2734" w:type="dxa"/>
            <w:gridSpan w:val="2"/>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执行数:</w:t>
            </w:r>
          </w:p>
        </w:tc>
        <w:tc>
          <w:tcPr>
            <w:tcW w:w="1596" w:type="dxa"/>
            <w:gridSpan w:val="2"/>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2213"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c>
          <w:tcPr>
            <w:tcW w:w="2734"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1596"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19"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2213"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2734"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1596" w:type="dxa"/>
            <w:gridSpan w:val="2"/>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9" w:type="dxa"/>
            <w:vMerge w:val="restart"/>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年度目标完成情况</w:t>
            </w:r>
          </w:p>
        </w:tc>
        <w:tc>
          <w:tcPr>
            <w:tcW w:w="3933"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预期目标</w:t>
            </w:r>
          </w:p>
        </w:tc>
        <w:tc>
          <w:tcPr>
            <w:tcW w:w="4330"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3" w:hRule="atLeast"/>
        </w:trPr>
        <w:tc>
          <w:tcPr>
            <w:tcW w:w="719" w:type="dxa"/>
            <w:vMerge w:val="continue"/>
            <w:tcBorders>
              <w:top w:val="single" w:color="000000" w:sz="4" w:space="0"/>
              <w:left w:val="single" w:color="000000" w:sz="4" w:space="0"/>
              <w:bottom w:val="nil"/>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3933" w:type="dxa"/>
            <w:gridSpan w:val="4"/>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rPr>
              <w:t>实施年度计划内的审计项目个数≥</w:t>
            </w:r>
            <w:r>
              <w:rPr>
                <w:rFonts w:hint="default" w:ascii="宋体" w:hAnsi="宋体" w:cs="宋体"/>
                <w:i w:val="0"/>
                <w:iCs w:val="0"/>
                <w:color w:val="auto"/>
                <w:kern w:val="0"/>
                <w:sz w:val="21"/>
                <w:szCs w:val="21"/>
                <w:u w:val="none"/>
                <w:lang w:eastAsia="zh-CN"/>
              </w:rPr>
              <w:t>6</w:t>
            </w:r>
            <w:r>
              <w:rPr>
                <w:rFonts w:hint="eastAsia" w:ascii="宋体" w:hAnsi="宋体" w:eastAsia="宋体" w:cs="宋体"/>
                <w:i w:val="0"/>
                <w:iCs w:val="0"/>
                <w:color w:val="auto"/>
                <w:kern w:val="0"/>
                <w:sz w:val="21"/>
                <w:szCs w:val="21"/>
                <w:u w:val="none"/>
                <w:lang w:val="en-US" w:eastAsia="zh-CN"/>
              </w:rPr>
              <w:t>个，政府投资建设工程审计项目完成时间202</w:t>
            </w:r>
            <w:r>
              <w:rPr>
                <w:rFonts w:hint="default" w:ascii="宋体" w:hAnsi="宋体" w:cs="宋体"/>
                <w:i w:val="0"/>
                <w:iCs w:val="0"/>
                <w:color w:val="auto"/>
                <w:kern w:val="0"/>
                <w:sz w:val="21"/>
                <w:szCs w:val="21"/>
                <w:u w:val="none"/>
                <w:lang w:eastAsia="zh-CN"/>
              </w:rPr>
              <w:t>2</w:t>
            </w:r>
            <w:r>
              <w:rPr>
                <w:rFonts w:hint="eastAsia" w:ascii="宋体" w:hAnsi="宋体" w:eastAsia="宋体" w:cs="宋体"/>
                <w:i w:val="0"/>
                <w:iCs w:val="0"/>
                <w:color w:val="auto"/>
                <w:kern w:val="0"/>
                <w:sz w:val="21"/>
                <w:szCs w:val="21"/>
                <w:u w:val="none"/>
                <w:lang w:val="en-US" w:eastAsia="zh-CN"/>
              </w:rPr>
              <w:t>年，固定资产投资审计成本≤</w:t>
            </w:r>
            <w:r>
              <w:rPr>
                <w:rFonts w:hint="default" w:ascii="宋体" w:hAnsi="宋体" w:cs="宋体"/>
                <w:i w:val="0"/>
                <w:iCs w:val="0"/>
                <w:color w:val="auto"/>
                <w:kern w:val="0"/>
                <w:sz w:val="21"/>
                <w:szCs w:val="21"/>
                <w:u w:val="none"/>
                <w:lang w:eastAsia="zh-CN"/>
              </w:rPr>
              <w:t>210</w:t>
            </w:r>
            <w:r>
              <w:rPr>
                <w:rFonts w:hint="eastAsia" w:ascii="宋体" w:hAnsi="宋体" w:eastAsia="宋体" w:cs="宋体"/>
                <w:i w:val="0"/>
                <w:iCs w:val="0"/>
                <w:color w:val="auto"/>
                <w:kern w:val="0"/>
                <w:sz w:val="21"/>
                <w:szCs w:val="21"/>
                <w:u w:val="none"/>
                <w:lang w:val="en-US" w:eastAsia="zh-CN"/>
              </w:rPr>
              <w:t>万</w:t>
            </w:r>
          </w:p>
        </w:tc>
        <w:tc>
          <w:tcPr>
            <w:tcW w:w="4330" w:type="dxa"/>
            <w:gridSpan w:val="4"/>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rPr>
              <w:t>202</w:t>
            </w:r>
            <w:r>
              <w:rPr>
                <w:rFonts w:hint="default" w:ascii="宋体" w:hAnsi="宋体" w:cs="宋体"/>
                <w:i w:val="0"/>
                <w:iCs w:val="0"/>
                <w:color w:val="auto"/>
                <w:kern w:val="0"/>
                <w:sz w:val="21"/>
                <w:szCs w:val="21"/>
                <w:u w:val="none"/>
                <w:lang w:eastAsia="zh-CN"/>
              </w:rPr>
              <w:t>2</w:t>
            </w:r>
            <w:r>
              <w:rPr>
                <w:rFonts w:hint="eastAsia" w:ascii="宋体" w:hAnsi="宋体" w:eastAsia="宋体" w:cs="宋体"/>
                <w:i w:val="0"/>
                <w:iCs w:val="0"/>
                <w:color w:val="auto"/>
                <w:kern w:val="0"/>
                <w:sz w:val="21"/>
                <w:szCs w:val="21"/>
                <w:u w:val="none"/>
                <w:lang w:val="en-US" w:eastAsia="zh-CN"/>
              </w:rPr>
              <w:t>年，完成固定资产投资审计项目</w:t>
            </w:r>
            <w:r>
              <w:rPr>
                <w:rFonts w:hint="default" w:ascii="宋体" w:hAnsi="宋体" w:cs="宋体"/>
                <w:i w:val="0"/>
                <w:iCs w:val="0"/>
                <w:color w:val="auto"/>
                <w:kern w:val="0"/>
                <w:sz w:val="21"/>
                <w:szCs w:val="21"/>
                <w:u w:val="none"/>
                <w:lang w:eastAsia="zh-CN"/>
              </w:rPr>
              <w:t>6</w:t>
            </w:r>
            <w:r>
              <w:rPr>
                <w:rFonts w:hint="eastAsia" w:ascii="宋体" w:hAnsi="宋体" w:eastAsia="宋体" w:cs="宋体"/>
                <w:i w:val="0"/>
                <w:iCs w:val="0"/>
                <w:color w:val="auto"/>
                <w:kern w:val="0"/>
                <w:sz w:val="21"/>
                <w:szCs w:val="21"/>
                <w:u w:val="none"/>
                <w:lang w:val="en-US" w:eastAsia="zh-CN"/>
              </w:rPr>
              <w:t>个。投资审计成本为</w:t>
            </w:r>
            <w:r>
              <w:rPr>
                <w:rFonts w:hint="default" w:ascii="宋体" w:hAnsi="宋体" w:cs="宋体"/>
                <w:i w:val="0"/>
                <w:iCs w:val="0"/>
                <w:color w:val="auto"/>
                <w:kern w:val="0"/>
                <w:sz w:val="21"/>
                <w:szCs w:val="21"/>
                <w:u w:val="none"/>
                <w:lang w:eastAsia="zh-CN"/>
              </w:rPr>
              <w:t>210</w:t>
            </w:r>
            <w:r>
              <w:rPr>
                <w:rFonts w:hint="eastAsia" w:ascii="宋体" w:hAnsi="宋体" w:eastAsia="宋体" w:cs="宋体"/>
                <w:i w:val="0"/>
                <w:iCs w:val="0"/>
                <w:color w:val="auto"/>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绩效指标完成情况</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一级指标</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二级指标</w:t>
            </w:r>
          </w:p>
        </w:tc>
        <w:tc>
          <w:tcPr>
            <w:tcW w:w="160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三级指标</w:t>
            </w:r>
          </w:p>
        </w:tc>
        <w:tc>
          <w:tcPr>
            <w:tcW w:w="257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预期指标值(包含数字及文字描述)</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项目完成指标</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60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实施年度内审计项目个数</w:t>
            </w:r>
          </w:p>
        </w:tc>
        <w:tc>
          <w:tcPr>
            <w:tcW w:w="257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rPr>
              <w:t>≥</w:t>
            </w:r>
            <w:r>
              <w:rPr>
                <w:rFonts w:hint="default" w:ascii="宋体" w:hAnsi="宋体" w:cs="宋体"/>
                <w:i w:val="0"/>
                <w:iCs w:val="0"/>
                <w:color w:val="auto"/>
                <w:kern w:val="0"/>
                <w:sz w:val="21"/>
                <w:szCs w:val="21"/>
                <w:u w:val="none"/>
                <w:lang w:eastAsia="zh-CN"/>
              </w:rPr>
              <w:t>6</w:t>
            </w:r>
            <w:r>
              <w:rPr>
                <w:rFonts w:hint="eastAsia" w:ascii="宋体" w:hAnsi="宋体" w:eastAsia="宋体" w:cs="宋体"/>
                <w:i w:val="0"/>
                <w:iCs w:val="0"/>
                <w:color w:val="auto"/>
                <w:kern w:val="0"/>
                <w:sz w:val="21"/>
                <w:szCs w:val="21"/>
                <w:u w:val="none"/>
                <w:lang w:val="en-US" w:eastAsia="zh-CN"/>
              </w:rPr>
              <w:t>个</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default" w:ascii="宋体" w:hAnsi="宋体" w:eastAsia="宋体" w:cs="宋体"/>
                <w:i w:val="0"/>
                <w:iCs w:val="0"/>
                <w:color w:val="FF0000"/>
                <w:sz w:val="21"/>
                <w:szCs w:val="21"/>
                <w:u w:val="none"/>
              </w:rPr>
            </w:pPr>
            <w:r>
              <w:rPr>
                <w:rFonts w:hint="default" w:ascii="宋体" w:hAnsi="宋体" w:cs="宋体"/>
                <w:i w:val="0"/>
                <w:iCs w:val="0"/>
                <w:color w:val="auto"/>
                <w:sz w:val="21"/>
                <w:szCs w:val="21"/>
                <w:u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固定资产投资审计项目审计成本</w:t>
            </w:r>
          </w:p>
        </w:tc>
        <w:tc>
          <w:tcPr>
            <w:tcW w:w="25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r>
              <w:rPr>
                <w:rFonts w:hint="eastAsia" w:ascii="宋体" w:hAnsi="宋体" w:cs="宋体"/>
                <w:i w:val="0"/>
                <w:iCs w:val="0"/>
                <w:color w:val="000000"/>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210</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固定资产投资审计项目完成时间</w:t>
            </w:r>
          </w:p>
        </w:tc>
        <w:tc>
          <w:tcPr>
            <w:tcW w:w="257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效益指标</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w:t>
            </w:r>
          </w:p>
        </w:tc>
        <w:tc>
          <w:tcPr>
            <w:tcW w:w="160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服务固定资产投资审计项目</w:t>
            </w:r>
          </w:p>
        </w:tc>
        <w:tc>
          <w:tcPr>
            <w:tcW w:w="257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完成固定资产投资审计项目</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完成固定资产投资审计项目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满意度指标</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使用者满意度</w:t>
            </w:r>
          </w:p>
        </w:tc>
        <w:tc>
          <w:tcPr>
            <w:tcW w:w="25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r>
    </w:tbl>
    <w:p>
      <w:pPr>
        <w:wordWrap/>
        <w:spacing w:line="240" w:lineRule="auto"/>
        <w:jc w:val="center"/>
        <w:rPr>
          <w:rFonts w:hint="eastAsia" w:ascii="方正小标宋简体" w:hAnsi="方正小标宋简体" w:eastAsia="方正小标宋简体" w:cs="方正小标宋简体"/>
          <w:sz w:val="40"/>
          <w:szCs w:val="40"/>
          <w:lang w:val="zh-CN"/>
        </w:rPr>
      </w:pPr>
      <w:bookmarkStart w:id="53" w:name="_Toc984_WPSOffice_Level2"/>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审计外勤</w:t>
      </w:r>
      <w:r>
        <w:rPr>
          <w:rFonts w:hint="eastAsia" w:ascii="方正小标宋简体" w:hAnsi="方正小标宋简体" w:eastAsia="方正小标宋简体" w:cs="方正小标宋简体"/>
          <w:sz w:val="40"/>
          <w:szCs w:val="40"/>
          <w:lang w:val="zh-CN"/>
        </w:rPr>
        <w:t>专项预算项目支出绩效</w:t>
      </w:r>
      <w:bookmarkEnd w:id="53"/>
    </w:p>
    <w:p>
      <w:pPr>
        <w:wordWrap/>
        <w:spacing w:line="240" w:lineRule="auto"/>
        <w:jc w:val="center"/>
        <w:rPr>
          <w:rFonts w:ascii="方正小标宋简体" w:hAnsi="方正小标宋简体" w:eastAsia="方正小标宋简体" w:cs="方正小标宋简体"/>
          <w:sz w:val="40"/>
          <w:szCs w:val="40"/>
          <w:lang w:val="zh-CN"/>
        </w:rPr>
      </w:pPr>
      <w:bookmarkStart w:id="54" w:name="_Toc31984_WPSOffice_Level2"/>
      <w:bookmarkStart w:id="55" w:name="_Toc29362_WPSOffice_Level2"/>
      <w:r>
        <w:rPr>
          <w:rFonts w:hint="eastAsia" w:ascii="方正小标宋简体" w:hAnsi="方正小标宋简体" w:eastAsia="方正小标宋简体" w:cs="方正小标宋简体"/>
          <w:sz w:val="40"/>
          <w:szCs w:val="40"/>
          <w:lang w:val="zh-CN"/>
        </w:rPr>
        <w:t>自评报告</w:t>
      </w:r>
      <w:bookmarkEnd w:id="54"/>
      <w:bookmarkEnd w:id="55"/>
    </w:p>
    <w:p>
      <w:pPr>
        <w:wordWrap/>
        <w:spacing w:line="240" w:lineRule="auto"/>
        <w:ind w:firstLine="640"/>
        <w:jc w:val="both"/>
        <w:rPr>
          <w:rFonts w:ascii="宋体" w:hAnsi="宋体"/>
          <w:sz w:val="32"/>
          <w:szCs w:val="32"/>
          <w:lang w:val="zh-CN"/>
        </w:rPr>
      </w:pPr>
    </w:p>
    <w:p>
      <w:pPr>
        <w:wordWrap/>
        <w:adjustRightInd w:val="0"/>
        <w:snapToGrid w:val="0"/>
        <w:spacing w:line="579" w:lineRule="exact"/>
        <w:ind w:firstLine="720"/>
        <w:jc w:val="both"/>
        <w:textAlignment w:val="auto"/>
        <w:rPr>
          <w:rFonts w:ascii="黑体" w:hAnsi="宋体" w:eastAsia="黑体"/>
          <w:sz w:val="32"/>
          <w:szCs w:val="32"/>
          <w:lang w:val="zh-CN"/>
        </w:rPr>
      </w:pPr>
      <w:bookmarkStart w:id="56" w:name="_Toc23315_WPSOffice_Level2"/>
      <w:bookmarkStart w:id="57" w:name="_Toc30911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56"/>
      <w:bookmarkEnd w:id="57"/>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ordWrap/>
        <w:adjustRightInd w:val="0"/>
        <w:snapToGrid w:val="0"/>
        <w:spacing w:line="579" w:lineRule="exact"/>
        <w:ind w:firstLine="72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sz w:val="32"/>
          <w:szCs w:val="32"/>
          <w:lang w:val="zh-CN"/>
        </w:rPr>
      </w:pPr>
      <w:r>
        <w:rPr>
          <w:rFonts w:hint="eastAsia" w:ascii="仿宋_GB2312" w:hAnsi="宋体" w:eastAsia="仿宋_GB2312"/>
          <w:color w:val="auto"/>
          <w:sz w:val="32"/>
          <w:szCs w:val="32"/>
          <w:lang w:val="zh-CN"/>
        </w:rPr>
        <w:t>为审计人员开展县内、县外审计项目提供出行保障等工作条件，保证全年审计项目工作正常开展。</w:t>
      </w:r>
    </w:p>
    <w:p>
      <w:pPr>
        <w:wordWrap/>
        <w:adjustRightInd w:val="0"/>
        <w:snapToGrid w:val="0"/>
        <w:spacing w:line="579" w:lineRule="exact"/>
        <w:ind w:firstLine="72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根据县委、县政府工作</w:t>
      </w:r>
      <w:r>
        <w:rPr>
          <w:rFonts w:hint="eastAsia" w:ascii="仿宋_GB2312" w:hAnsi="宋体" w:eastAsia="仿宋_GB2312"/>
          <w:color w:val="auto"/>
          <w:sz w:val="32"/>
          <w:szCs w:val="32"/>
          <w:lang w:val="zh-CN"/>
        </w:rPr>
        <w:t>安排</w:t>
      </w:r>
      <w:r>
        <w:rPr>
          <w:rFonts w:hint="eastAsia" w:ascii="仿宋_GB2312" w:eastAsia="仿宋_GB2312" w:cs="仿宋_GB2312"/>
          <w:i w:val="0"/>
          <w:iCs w:val="0"/>
          <w:caps w:val="0"/>
          <w:color w:val="auto"/>
          <w:spacing w:val="0"/>
          <w:sz w:val="32"/>
          <w:szCs w:val="32"/>
          <w:shd w:val="clear" w:color="090000" w:fill="FFFFFF"/>
        </w:rPr>
        <w:t>及预算管理要求，泸县审计局所有经费均</w:t>
      </w:r>
      <w:r>
        <w:rPr>
          <w:rFonts w:hint="eastAsia" w:ascii="仿宋_GB2312" w:eastAsia="仿宋_GB2312" w:cs="仿宋_GB2312"/>
          <w:i w:val="0"/>
          <w:iCs w:val="0"/>
          <w:caps w:val="0"/>
          <w:color w:val="auto"/>
          <w:spacing w:val="0"/>
          <w:sz w:val="32"/>
          <w:szCs w:val="32"/>
          <w:shd w:val="clear" w:color="090000" w:fill="FFFFFF"/>
          <w:lang w:eastAsia="zh-CN"/>
        </w:rPr>
        <w:t>由</w:t>
      </w:r>
      <w:r>
        <w:rPr>
          <w:rFonts w:hint="eastAsia" w:ascii="仿宋_GB2312" w:eastAsia="仿宋_GB2312" w:cs="仿宋_GB2312"/>
          <w:i w:val="0"/>
          <w:iCs w:val="0"/>
          <w:caps w:val="0"/>
          <w:color w:val="auto"/>
          <w:spacing w:val="0"/>
          <w:sz w:val="32"/>
          <w:szCs w:val="32"/>
          <w:shd w:val="clear" w:color="090000" w:fill="FFFFFF"/>
        </w:rPr>
        <w:t>财政列支，纳入财政年初预算。</w:t>
      </w:r>
      <w:r>
        <w:rPr>
          <w:rFonts w:hint="eastAsia" w:ascii="仿宋_GB2312" w:hAnsi="宋体" w:eastAsia="仿宋_GB2312"/>
          <w:color w:val="auto"/>
          <w:sz w:val="32"/>
          <w:szCs w:val="32"/>
          <w:lang w:val="zh-CN"/>
        </w:rPr>
        <w:t>接受上级审计机关安排，开展县外审计项目</w:t>
      </w:r>
      <w:r>
        <w:rPr>
          <w:rFonts w:hint="default" w:ascii="仿宋_GB2312" w:hAnsi="宋体" w:eastAsia="仿宋_GB2312"/>
          <w:color w:val="auto"/>
          <w:sz w:val="32"/>
          <w:szCs w:val="32"/>
        </w:rPr>
        <w:t>3</w:t>
      </w:r>
      <w:r>
        <w:rPr>
          <w:rFonts w:hint="eastAsia" w:ascii="仿宋_GB2312" w:hAnsi="宋体" w:eastAsia="仿宋_GB2312"/>
          <w:color w:val="auto"/>
          <w:sz w:val="32"/>
          <w:szCs w:val="32"/>
          <w:lang w:val="zh-CN"/>
        </w:rPr>
        <w:t>个，共抽调11人次，外勤经费</w:t>
      </w:r>
      <w:r>
        <w:rPr>
          <w:rFonts w:hint="eastAsia" w:ascii="仿宋_GB2312" w:hAnsi="宋体" w:eastAsia="仿宋_GB2312"/>
          <w:color w:val="auto"/>
          <w:sz w:val="32"/>
          <w:szCs w:val="32"/>
          <w:lang w:val="en-US" w:eastAsia="zh-CN"/>
        </w:rPr>
        <w:t>17.9万元</w:t>
      </w:r>
      <w:r>
        <w:rPr>
          <w:rFonts w:hint="eastAsia" w:ascii="仿宋_GB2312" w:hAnsi="宋体" w:eastAsia="仿宋_GB2312"/>
          <w:color w:val="auto"/>
          <w:sz w:val="32"/>
          <w:szCs w:val="32"/>
          <w:lang w:val="zh-CN"/>
        </w:rPr>
        <w:t>；县内审计项目</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lang w:val="zh-CN"/>
        </w:rPr>
        <w:t>个，每个项目3人次，共抽调</w:t>
      </w:r>
      <w:r>
        <w:rPr>
          <w:rFonts w:hint="eastAsia" w:ascii="仿宋_GB2312" w:hAnsi="宋体" w:eastAsia="仿宋_GB2312"/>
          <w:color w:val="auto"/>
          <w:sz w:val="32"/>
          <w:szCs w:val="32"/>
          <w:lang w:val="en-US" w:eastAsia="zh-CN"/>
        </w:rPr>
        <w:t>63人次，</w:t>
      </w:r>
      <w:r>
        <w:rPr>
          <w:rFonts w:hint="eastAsia" w:ascii="仿宋_GB2312" w:hAnsi="宋体" w:eastAsia="仿宋_GB2312"/>
          <w:color w:val="auto"/>
          <w:sz w:val="32"/>
          <w:szCs w:val="32"/>
          <w:lang w:val="zh-CN"/>
        </w:rPr>
        <w:t>外勤经费</w:t>
      </w:r>
      <w:r>
        <w:rPr>
          <w:rFonts w:hint="eastAsia" w:ascii="仿宋_GB2312" w:hAnsi="宋体" w:eastAsia="仿宋_GB2312"/>
          <w:color w:val="auto"/>
          <w:sz w:val="32"/>
          <w:szCs w:val="32"/>
          <w:lang w:val="en-US" w:eastAsia="zh-CN"/>
        </w:rPr>
        <w:t>20.1</w:t>
      </w:r>
      <w:r>
        <w:rPr>
          <w:rFonts w:hint="eastAsia" w:ascii="仿宋_GB2312" w:hAnsi="宋体" w:eastAsia="仿宋_GB2312"/>
          <w:color w:val="auto"/>
          <w:sz w:val="32"/>
          <w:szCs w:val="32"/>
          <w:lang w:val="zh-CN"/>
        </w:rPr>
        <w:t>万元。</w:t>
      </w:r>
    </w:p>
    <w:p>
      <w:pPr>
        <w:wordWrap/>
        <w:adjustRightInd w:val="0"/>
        <w:snapToGrid w:val="0"/>
        <w:spacing w:line="579" w:lineRule="exact"/>
        <w:ind w:firstLine="72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sz w:val="32"/>
          <w:szCs w:val="32"/>
          <w:lang w:val="zh-CN"/>
        </w:rPr>
      </w:pPr>
      <w:r>
        <w:rPr>
          <w:rFonts w:hint="eastAsia" w:ascii="仿宋_GB2312" w:eastAsia="仿宋_GB2312" w:cs="仿宋_GB2312"/>
          <w:i w:val="0"/>
          <w:iCs w:val="0"/>
          <w:caps w:val="0"/>
          <w:color w:val="auto"/>
          <w:spacing w:val="0"/>
          <w:sz w:val="32"/>
          <w:szCs w:val="32"/>
          <w:shd w:val="clear" w:color="090000" w:fill="FFFFFF"/>
        </w:rPr>
        <w:t>为进一步加强财政预算资金管理，提高资金使用效率，由单位行政办公室牵头根据收支情况制定资金计划。严格资金支付程序，始终将内部控制制度贯穿资金使用，大额资金支付均通过局党组会议讨论，杜绝“一支笔”签审使用资金。加强备用金、存货和固定资产管理，严格票据审核和原始凭据粘贴，坚决按照预算编制、申报范围列支经常性项目经费。</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widowControl w:val="0"/>
        <w:wordWrap/>
        <w:adjustRightInd w:val="0"/>
        <w:snapToGrid w:val="0"/>
        <w:spacing w:before="0" w:after="0" w:line="579" w:lineRule="exact"/>
        <w:ind w:left="0" w:leftChars="0" w:right="0" w:firstLine="640" w:firstLineChars="200"/>
        <w:jc w:val="both"/>
        <w:textAlignment w:val="auto"/>
        <w:outlineLvl w:val="9"/>
        <w:rPr>
          <w:rFonts w:ascii="仿宋_GB2312" w:hAnsi="宋体" w:eastAsia="仿宋_GB2312"/>
          <w:sz w:val="32"/>
          <w:szCs w:val="32"/>
          <w:lang w:val="zh-CN"/>
        </w:rPr>
      </w:pPr>
      <w:r>
        <w:rPr>
          <w:rFonts w:hint="eastAsia" w:ascii="仿宋_GB2312" w:hAnsi="宋体" w:eastAsia="仿宋_GB2312"/>
          <w:color w:val="auto"/>
          <w:sz w:val="32"/>
          <w:szCs w:val="32"/>
          <w:lang w:val="zh-CN"/>
        </w:rPr>
        <w:t>在预算限额内，提供审计人员所需的出行保障等工作条件。</w:t>
      </w:r>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widowControl w:val="0"/>
        <w:wordWrap/>
        <w:adjustRightInd w:val="0"/>
        <w:snapToGrid w:val="0"/>
        <w:spacing w:before="0" w:after="0" w:line="579" w:lineRule="exact"/>
        <w:ind w:left="0" w:leftChars="0" w:right="0" w:firstLine="640" w:firstLineChars="200"/>
        <w:jc w:val="both"/>
        <w:textAlignment w:val="auto"/>
        <w:outlineLvl w:val="9"/>
        <w:rPr>
          <w:rFonts w:ascii="仿宋_GB2312" w:hAnsi="宋体" w:eastAsia="仿宋_GB2312"/>
          <w:sz w:val="32"/>
          <w:szCs w:val="32"/>
          <w:lang w:val="zh-CN"/>
        </w:rPr>
      </w:pPr>
      <w:r>
        <w:rPr>
          <w:rFonts w:hint="eastAsia" w:ascii="仿宋_GB2312" w:hAnsi="宋体" w:eastAsia="仿宋_GB2312"/>
          <w:color w:val="auto"/>
          <w:sz w:val="32"/>
          <w:szCs w:val="32"/>
          <w:lang w:val="zh-CN"/>
        </w:rPr>
        <w:t>提供审计人员所需的出行保障等工作条件。</w:t>
      </w:r>
    </w:p>
    <w:p>
      <w:pPr>
        <w:wordWrap/>
        <w:adjustRightInd w:val="0"/>
        <w:snapToGrid w:val="0"/>
        <w:spacing w:line="579" w:lineRule="exact"/>
        <w:ind w:firstLine="72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实施年度计划内的审计项目个</w:t>
      </w:r>
      <w:r>
        <w:rPr>
          <w:rFonts w:hint="eastAsia" w:ascii="仿宋_GB2312" w:hAnsi="宋体" w:eastAsia="仿宋_GB2312"/>
          <w:sz w:val="32"/>
          <w:szCs w:val="32"/>
          <w:lang w:val="zh-CN"/>
        </w:rPr>
        <w:t>数≥</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个，审</w:t>
      </w:r>
      <w:r>
        <w:rPr>
          <w:rFonts w:hint="eastAsia" w:ascii="仿宋_GB2312" w:hAnsi="宋体" w:eastAsia="仿宋_GB2312"/>
          <w:color w:val="auto"/>
          <w:sz w:val="32"/>
          <w:szCs w:val="32"/>
          <w:lang w:val="zh-CN"/>
        </w:rPr>
        <w:t>计项目完成时间202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年，审计成本≤</w:t>
      </w:r>
      <w:r>
        <w:rPr>
          <w:rFonts w:hint="eastAsia" w:ascii="仿宋_GB2312" w:hAnsi="宋体" w:eastAsia="仿宋_GB2312"/>
          <w:color w:val="auto"/>
          <w:sz w:val="32"/>
          <w:szCs w:val="32"/>
          <w:lang w:val="en-US" w:eastAsia="zh-CN"/>
        </w:rPr>
        <w:t>38</w:t>
      </w:r>
      <w:r>
        <w:rPr>
          <w:rFonts w:hint="eastAsia" w:ascii="仿宋_GB2312" w:hAnsi="宋体" w:eastAsia="仿宋_GB2312"/>
          <w:color w:val="auto"/>
          <w:sz w:val="32"/>
          <w:szCs w:val="32"/>
          <w:lang w:val="zh-CN"/>
        </w:rPr>
        <w:t>万。</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分析评价申报内容是否与实际相符，申报目标是否合理可行。</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申报内容与实际相符，申报目标合理可行。</w:t>
      </w:r>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泸县审计局主要采取自评方式，成立项目自评小组，结合县委、县政府工作安排及审计局年初工作计划，开展自评工作。按照上级下达的项目支出绩效评价指标体系，针对申报内容、实施情况从数量、质量、成本、经济和社会效益指标等方面做出自我评价。</w:t>
      </w:r>
    </w:p>
    <w:p>
      <w:pPr>
        <w:wordWrap/>
        <w:adjustRightInd w:val="0"/>
        <w:snapToGrid w:val="0"/>
        <w:spacing w:line="579" w:lineRule="exact"/>
        <w:ind w:firstLine="720"/>
        <w:jc w:val="both"/>
        <w:textAlignment w:val="auto"/>
        <w:rPr>
          <w:rFonts w:ascii="黑体" w:hAnsi="宋体" w:eastAsia="黑体"/>
          <w:sz w:val="32"/>
          <w:szCs w:val="32"/>
        </w:rPr>
      </w:pPr>
      <w:bookmarkStart w:id="58" w:name="_Toc18319_WPSOffice_Level2"/>
      <w:bookmarkStart w:id="59" w:name="_Toc29204_WPSOffice_Level2"/>
      <w:r>
        <w:rPr>
          <w:rFonts w:hint="eastAsia" w:ascii="黑体" w:hAnsi="宋体" w:eastAsia="黑体"/>
          <w:sz w:val="32"/>
          <w:szCs w:val="32"/>
        </w:rPr>
        <w:t>二、项目资金申报及使用情况</w:t>
      </w:r>
      <w:bookmarkEnd w:id="58"/>
      <w:bookmarkEnd w:id="59"/>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项目资金年初预算</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万元，财政批复金额</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w:t>
      </w:r>
    </w:p>
    <w:p>
      <w:pPr>
        <w:wordWrap/>
        <w:adjustRightInd w:val="0"/>
        <w:snapToGrid w:val="0"/>
        <w:spacing w:line="579" w:lineRule="exact"/>
        <w:ind w:firstLine="720"/>
        <w:jc w:val="both"/>
        <w:textAlignment w:val="auto"/>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w:t>
      </w:r>
      <w:r>
        <w:rPr>
          <w:rFonts w:hint="eastAsia" w:ascii="仿宋_GB2312" w:eastAsia="仿宋_GB2312" w:cs="仿宋_GB2312"/>
          <w:i w:val="0"/>
          <w:iCs w:val="0"/>
          <w:caps w:val="0"/>
          <w:color w:val="auto"/>
          <w:spacing w:val="0"/>
          <w:sz w:val="32"/>
          <w:szCs w:val="32"/>
          <w:shd w:val="clear" w:color="090000" w:fill="FFFFFF"/>
        </w:rPr>
        <w:t>项目资金年初预算</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万元，均为财政拨款资金。</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年12月31日，财政划拨资金</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万元，完成资金计划的100%，</w:t>
      </w:r>
      <w:r>
        <w:rPr>
          <w:rFonts w:hint="eastAsia" w:ascii="仿宋_GB2312" w:hAnsi="宋体" w:eastAsia="仿宋_GB2312"/>
          <w:color w:val="auto"/>
          <w:sz w:val="32"/>
          <w:szCs w:val="32"/>
          <w:lang w:val="zh-CN"/>
        </w:rPr>
        <w:t>为外出审计人员提供了必要的专业设备、软件、出行保障等工作条件</w:t>
      </w:r>
      <w:r>
        <w:rPr>
          <w:rFonts w:hint="eastAsia" w:ascii="仿宋_GB2312" w:eastAsia="仿宋_GB2312" w:cs="仿宋_GB2312"/>
          <w:i w:val="0"/>
          <w:iCs w:val="0"/>
          <w:caps w:val="0"/>
          <w:color w:val="auto"/>
          <w:spacing w:val="0"/>
          <w:sz w:val="32"/>
          <w:szCs w:val="32"/>
          <w:shd w:val="clear" w:color="090000" w:fill="FFFFFF"/>
        </w:rPr>
        <w:t>。</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年12月31日，项目资金支出</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泸县审计局财务管理制度健全，严格执行财务管理制度，账务处理及时，会计核算规范。</w:t>
      </w:r>
    </w:p>
    <w:p>
      <w:pPr>
        <w:wordWrap/>
        <w:adjustRightInd w:val="0"/>
        <w:snapToGrid w:val="0"/>
        <w:spacing w:line="579" w:lineRule="exact"/>
        <w:ind w:firstLine="720"/>
        <w:jc w:val="both"/>
        <w:textAlignment w:val="auto"/>
        <w:rPr>
          <w:rFonts w:ascii="黑体" w:hAnsi="宋体" w:eastAsia="黑体"/>
          <w:sz w:val="32"/>
          <w:szCs w:val="32"/>
        </w:rPr>
      </w:pPr>
      <w:bookmarkStart w:id="60" w:name="_Toc12248_WPSOffice_Level2"/>
      <w:bookmarkStart w:id="61" w:name="_Toc14548_WPSOffice_Level2"/>
      <w:r>
        <w:rPr>
          <w:rFonts w:hint="eastAsia" w:ascii="黑体" w:hAnsi="宋体" w:eastAsia="黑体"/>
          <w:sz w:val="32"/>
          <w:szCs w:val="32"/>
        </w:rPr>
        <w:t>三、项目实施及管理情况</w:t>
      </w:r>
      <w:bookmarkEnd w:id="60"/>
      <w:bookmarkEnd w:id="61"/>
    </w:p>
    <w:p>
      <w:pPr>
        <w:wordWrap/>
        <w:adjustRightInd w:val="0"/>
        <w:snapToGrid w:val="0"/>
        <w:spacing w:line="579" w:lineRule="exact"/>
        <w:ind w:firstLine="72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13"/>
        </w:numPr>
        <w:wordWrap/>
        <w:adjustRightInd w:val="0"/>
        <w:snapToGrid w:val="0"/>
        <w:spacing w:line="579" w:lineRule="exact"/>
        <w:ind w:firstLine="720"/>
        <w:jc w:val="both"/>
        <w:textAlignment w:val="auto"/>
        <w:rPr>
          <w:rFonts w:hint="eastAsia" w:ascii="仿宋_GB2312" w:hAnsi="宋体" w:eastAsia="仿宋_GB2312"/>
          <w:color w:val="auto"/>
          <w:sz w:val="32"/>
          <w:szCs w:val="32"/>
          <w:lang w:val="zh-CN"/>
        </w:rPr>
      </w:pPr>
      <w:r>
        <w:rPr>
          <w:rFonts w:hint="eastAsia" w:ascii="楷体_GB2312" w:hAnsi="宋体" w:eastAsia="楷体_GB2312"/>
          <w:b/>
          <w:sz w:val="32"/>
          <w:szCs w:val="32"/>
          <w:lang w:val="zh-CN"/>
        </w:rPr>
        <w:t>项目组织架构及实施流程。</w:t>
      </w:r>
      <w:r>
        <w:rPr>
          <w:rFonts w:hint="eastAsia" w:ascii="仿宋_GB2312" w:hAnsi="宋体" w:eastAsia="仿宋_GB2312"/>
          <w:sz w:val="32"/>
          <w:szCs w:val="32"/>
          <w:lang w:val="zh-CN"/>
        </w:rPr>
        <w:t>根据年初审计项目计划，安排各项目审计组人员，审计项目实行组长或主审负责制，外出审计所需用车、食宿等由项目主审或组长提出申请，报分管领导审核批准后执行，据实结算费用。</w:t>
      </w:r>
    </w:p>
    <w:p>
      <w:pPr>
        <w:numPr>
          <w:ilvl w:val="0"/>
          <w:numId w:val="13"/>
        </w:numPr>
        <w:wordWrap/>
        <w:adjustRightInd w:val="0"/>
        <w:snapToGrid w:val="0"/>
        <w:spacing w:line="579" w:lineRule="exact"/>
        <w:ind w:firstLine="720"/>
        <w:jc w:val="both"/>
        <w:textAlignment w:val="auto"/>
        <w:rPr>
          <w:rFonts w:ascii="仿宋_GB2312" w:hAnsi="宋体" w:eastAsia="仿宋_GB2312"/>
          <w:sz w:val="32"/>
          <w:szCs w:val="32"/>
          <w:lang w:val="zh-CN"/>
        </w:rPr>
      </w:pPr>
      <w:r>
        <w:rPr>
          <w:rFonts w:hint="eastAsia" w:ascii="楷体_GB2312" w:hAnsi="宋体" w:eastAsia="楷体_GB2312"/>
          <w:b/>
          <w:sz w:val="32"/>
          <w:szCs w:val="32"/>
          <w:lang w:val="zh-CN"/>
        </w:rPr>
        <w:t>项目管理情况。</w:t>
      </w:r>
      <w:r>
        <w:rPr>
          <w:rFonts w:hint="eastAsia" w:ascii="仿宋_GB2312" w:hAnsi="宋体" w:eastAsia="仿宋_GB2312"/>
          <w:sz w:val="32"/>
          <w:szCs w:val="32"/>
          <w:lang w:val="zh-CN"/>
        </w:rPr>
        <w:t>审计项目实行组长或主审负责制，</w:t>
      </w:r>
      <w:r>
        <w:rPr>
          <w:rFonts w:hint="eastAsia" w:ascii="仿宋_GB2312" w:hAnsi="宋体" w:eastAsia="仿宋_GB2312"/>
          <w:color w:val="auto"/>
          <w:sz w:val="32"/>
          <w:szCs w:val="32"/>
          <w:lang w:val="zh-CN"/>
        </w:rPr>
        <w:t>本着节约成本、集体决策的原则，项目实施由多个部门、多个人员参与，相互监督。</w:t>
      </w:r>
    </w:p>
    <w:p>
      <w:pPr>
        <w:wordWrap/>
        <w:adjustRightInd w:val="0"/>
        <w:snapToGrid w:val="0"/>
        <w:spacing w:line="579" w:lineRule="exact"/>
        <w:ind w:firstLine="720"/>
        <w:jc w:val="both"/>
        <w:textAlignment w:val="auto"/>
        <w:rPr>
          <w:rFonts w:hint="eastAsia"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严格执行审计“八不准”及“四严禁”工作纪律，审计组工作情况由审计组长及分管领导按时考勤，监督考核，履行必要的手续。</w:t>
      </w:r>
    </w:p>
    <w:p>
      <w:pPr>
        <w:wordWrap/>
        <w:adjustRightInd w:val="0"/>
        <w:snapToGrid w:val="0"/>
        <w:spacing w:line="579" w:lineRule="exact"/>
        <w:ind w:firstLine="720"/>
        <w:jc w:val="both"/>
        <w:textAlignment w:val="auto"/>
        <w:rPr>
          <w:rFonts w:ascii="仿宋_GB2312" w:hAnsi="宋体" w:eastAsia="仿宋_GB2312"/>
          <w:sz w:val="32"/>
          <w:szCs w:val="32"/>
          <w:lang w:val="zh-CN"/>
        </w:rPr>
      </w:pPr>
      <w:bookmarkStart w:id="62" w:name="_Toc21671_WPSOffice_Level2"/>
      <w:bookmarkStart w:id="63" w:name="_Toc7832_WPSOffice_Level2"/>
      <w:r>
        <w:rPr>
          <w:rFonts w:hint="eastAsia" w:ascii="黑体" w:hAnsi="宋体" w:eastAsia="黑体"/>
          <w:sz w:val="32"/>
          <w:szCs w:val="32"/>
        </w:rPr>
        <w:t>四、项目绩效情况</w:t>
      </w:r>
      <w:bookmarkEnd w:id="62"/>
      <w:bookmarkEnd w:id="63"/>
      <w:r>
        <w:rPr>
          <w:rFonts w:hint="eastAsia" w:ascii="仿宋_GB2312" w:hAnsi="宋体" w:eastAsia="仿宋_GB2312"/>
          <w:sz w:val="32"/>
          <w:szCs w:val="32"/>
          <w:lang w:val="zh-CN"/>
        </w:rPr>
        <w:tab/>
      </w:r>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rPr>
      </w:pPr>
      <w:r>
        <w:rPr>
          <w:rFonts w:hint="eastAsia" w:ascii="仿宋_GB2312" w:eastAsia="仿宋_GB2312" w:cs="仿宋_GB2312"/>
          <w:i w:val="0"/>
          <w:iCs w:val="0"/>
          <w:caps w:val="0"/>
          <w:color w:val="auto"/>
          <w:spacing w:val="0"/>
          <w:sz w:val="32"/>
          <w:szCs w:val="32"/>
          <w:shd w:val="clear" w:color="090000" w:fill="FFFFFF"/>
        </w:rPr>
        <w:t>项目资金支出</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ordWrap/>
        <w:adjustRightInd w:val="0"/>
        <w:snapToGrid w:val="0"/>
        <w:spacing w:line="579" w:lineRule="exact"/>
        <w:ind w:firstLine="720"/>
        <w:jc w:val="both"/>
        <w:textAlignment w:val="auto"/>
        <w:rPr>
          <w:rFonts w:hint="eastAsia" w:ascii="黑体" w:hAnsi="宋体" w:eastAsia="黑体"/>
          <w:sz w:val="32"/>
          <w:szCs w:val="32"/>
        </w:rPr>
      </w:pPr>
      <w:r>
        <w:rPr>
          <w:rFonts w:hint="eastAsia" w:ascii="仿宋_GB2312" w:hAnsi="宋体" w:eastAsia="仿宋_GB2312"/>
          <w:color w:val="auto"/>
          <w:sz w:val="32"/>
          <w:szCs w:val="32"/>
          <w:lang w:val="zh-CN"/>
        </w:rPr>
        <w:t>项目实施为外出审计项目的审计人员提供了必要的经费保障，保证了审计工作的正常开展，</w:t>
      </w:r>
      <w:r>
        <w:rPr>
          <w:rFonts w:hint="eastAsia" w:ascii="仿宋_GB2312" w:hAnsi="宋体" w:eastAsia="仿宋_GB2312"/>
          <w:color w:val="auto"/>
          <w:sz w:val="32"/>
          <w:szCs w:val="32"/>
          <w:lang w:val="en-US" w:eastAsia="zh-CN"/>
        </w:rPr>
        <w:t>2022年24个项目如期完成，达到预期效果。</w:t>
      </w:r>
    </w:p>
    <w:p>
      <w:pPr>
        <w:wordWrap/>
        <w:adjustRightInd w:val="0"/>
        <w:snapToGrid w:val="0"/>
        <w:spacing w:line="579" w:lineRule="exact"/>
        <w:ind w:firstLine="720"/>
        <w:jc w:val="both"/>
        <w:textAlignment w:val="auto"/>
        <w:rPr>
          <w:rFonts w:ascii="黑体" w:hAnsi="宋体" w:eastAsia="黑体"/>
          <w:sz w:val="32"/>
          <w:szCs w:val="32"/>
        </w:rPr>
      </w:pPr>
      <w:bookmarkStart w:id="64" w:name="_Toc2184_WPSOffice_Level2"/>
      <w:bookmarkStart w:id="65" w:name="_Toc22679_WPSOffice_Level2"/>
      <w:r>
        <w:rPr>
          <w:rFonts w:hint="eastAsia" w:ascii="黑体" w:hAnsi="宋体" w:eastAsia="黑体"/>
          <w:sz w:val="32"/>
          <w:szCs w:val="32"/>
        </w:rPr>
        <w:t>五、评价结论及建议</w:t>
      </w:r>
      <w:bookmarkEnd w:id="64"/>
      <w:bookmarkEnd w:id="65"/>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wordWrap/>
        <w:adjustRightInd w:val="0"/>
        <w:snapToGrid w:val="0"/>
        <w:spacing w:line="579" w:lineRule="exact"/>
        <w:ind w:firstLine="720"/>
        <w:jc w:val="both"/>
        <w:textAlignment w:val="auto"/>
        <w:rPr>
          <w:rFonts w:ascii="仿宋_GB2312" w:hAnsi="宋体" w:eastAsia="仿宋_GB2312"/>
          <w:color w:val="auto"/>
          <w:sz w:val="32"/>
          <w:szCs w:val="32"/>
          <w:bdr w:val="single" w:color="auto" w:sz="4" w:space="0"/>
          <w:lang w:val="zh-CN"/>
        </w:rPr>
      </w:pPr>
      <w:r>
        <w:rPr>
          <w:rFonts w:hint="eastAsia" w:ascii="仿宋_GB2312" w:eastAsia="仿宋_GB2312" w:cs="仿宋_GB2312"/>
          <w:i w:val="0"/>
          <w:iCs w:val="0"/>
          <w:caps w:val="0"/>
          <w:color w:val="auto"/>
          <w:spacing w:val="0"/>
          <w:sz w:val="32"/>
          <w:szCs w:val="32"/>
          <w:shd w:val="clear" w:color="090000" w:fill="FFFFFF"/>
        </w:rPr>
        <w:t>项目资金支出</w:t>
      </w:r>
      <w:r>
        <w:rPr>
          <w:rFonts w:hint="eastAsia" w:ascii="仿宋_GB2312" w:eastAsia="仿宋_GB2312" w:cs="仿宋_GB2312"/>
          <w:i w:val="0"/>
          <w:iCs w:val="0"/>
          <w:caps w:val="0"/>
          <w:color w:val="auto"/>
          <w:spacing w:val="0"/>
          <w:sz w:val="32"/>
          <w:szCs w:val="32"/>
          <w:shd w:val="clear" w:color="090000" w:fill="FFFFFF"/>
          <w:lang w:val="en-US" w:eastAsia="zh-CN"/>
        </w:rPr>
        <w:t>38</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。在</w:t>
      </w:r>
      <w:r>
        <w:rPr>
          <w:rFonts w:hint="eastAsia" w:ascii="仿宋_GB2312" w:eastAsia="仿宋_GB2312" w:cs="仿宋_GB2312"/>
          <w:i w:val="0"/>
          <w:iCs w:val="0"/>
          <w:caps w:val="0"/>
          <w:color w:val="auto"/>
          <w:spacing w:val="0"/>
          <w:sz w:val="32"/>
          <w:szCs w:val="32"/>
          <w:shd w:val="clear" w:color="090000" w:fill="FFFFFF"/>
          <w:lang w:val="en-US" w:eastAsia="zh-CN"/>
        </w:rPr>
        <w:t>2022年</w:t>
      </w:r>
      <w:r>
        <w:rPr>
          <w:rFonts w:hint="eastAsia" w:ascii="仿宋_GB2312" w:eastAsia="仿宋_GB2312" w:cs="仿宋_GB2312"/>
          <w:i w:val="0"/>
          <w:iCs w:val="0"/>
          <w:caps w:val="0"/>
          <w:color w:val="auto"/>
          <w:spacing w:val="0"/>
          <w:sz w:val="32"/>
          <w:szCs w:val="32"/>
          <w:shd w:val="clear" w:color="090000" w:fill="FFFFFF"/>
          <w:lang w:eastAsia="zh-CN"/>
        </w:rPr>
        <w:t>，保障了</w:t>
      </w:r>
      <w:r>
        <w:rPr>
          <w:rFonts w:hint="eastAsia" w:ascii="仿宋_GB2312" w:hAnsi="宋体" w:eastAsia="仿宋_GB2312"/>
          <w:color w:val="auto"/>
          <w:sz w:val="32"/>
          <w:szCs w:val="32"/>
          <w:lang w:val="zh-CN"/>
        </w:rPr>
        <w:t>审计工作的正常开展</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wordWrap/>
        <w:adjustRightInd w:val="0"/>
        <w:snapToGrid w:val="0"/>
        <w:spacing w:line="579" w:lineRule="exact"/>
        <w:ind w:firstLine="640" w:firstLineChars="200"/>
        <w:jc w:val="both"/>
        <w:textAlignment w:val="auto"/>
        <w:rPr>
          <w:rFonts w:ascii="仿宋_GB2312" w:hAnsi="宋体" w:eastAsia="仿宋_GB2312"/>
          <w:color w:val="auto"/>
          <w:sz w:val="32"/>
          <w:szCs w:val="32"/>
          <w:lang w:val="zh-CN"/>
        </w:rPr>
      </w:pPr>
      <w:r>
        <w:rPr>
          <w:rFonts w:hint="eastAsia" w:ascii="仿宋_GB2312" w:hAnsi="宋体" w:eastAsia="仿宋_GB2312" w:cs="宋体"/>
          <w:color w:val="auto"/>
          <w:sz w:val="32"/>
          <w:szCs w:val="32"/>
          <w:lang w:eastAsia="zh-CN"/>
        </w:rPr>
        <w:t>审计涉及的领域广，对大数据审计、各行业专业审计人员的专业技能要求更高，审计人员的专业技能有待提高，效率有待加强</w:t>
      </w:r>
      <w:r>
        <w:rPr>
          <w:rFonts w:hint="eastAsia" w:ascii="仿宋_GB2312" w:hAnsi="宋体" w:eastAsia="仿宋_GB2312" w:cs="宋体"/>
          <w:color w:val="auto"/>
          <w:sz w:val="32"/>
          <w:szCs w:val="32"/>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wordWrap/>
        <w:spacing w:line="579" w:lineRule="exact"/>
        <w:ind w:firstLine="640"/>
        <w:jc w:val="both"/>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加强相关人员专业技能培训，提高工作效率。</w:t>
      </w: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p>
    <w:p>
      <w:pPr>
        <w:pStyle w:val="6"/>
        <w:wordWrap/>
        <w:spacing w:before="93" w:line="240" w:lineRule="auto"/>
        <w:jc w:val="both"/>
        <w:rPr>
          <w:rFonts w:hint="eastAsia" w:hAnsi="宋体" w:cs="宋体"/>
          <w:sz w:val="32"/>
          <w:szCs w:val="32"/>
          <w:shd w:val="clear" w:color="auto" w:fill="FFFFFF"/>
          <w:lang w:val="zh-CN"/>
        </w:rPr>
      </w:pPr>
      <w:r>
        <w:rPr>
          <w:rFonts w:hint="eastAsia" w:hAnsi="宋体" w:cs="宋体"/>
          <w:sz w:val="32"/>
          <w:szCs w:val="32"/>
          <w:shd w:val="clear" w:color="auto" w:fill="FFFFFF"/>
          <w:lang w:val="zh-CN"/>
        </w:rPr>
        <w:t>附表</w:t>
      </w:r>
    </w:p>
    <w:tbl>
      <w:tblPr>
        <w:tblW w:w="8426" w:type="dxa"/>
        <w:jc w:val="center"/>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581"/>
        <w:gridCol w:w="1032"/>
        <w:gridCol w:w="1493"/>
        <w:gridCol w:w="194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426" w:type="dxa"/>
            <w:gridSpan w:val="6"/>
            <w:tcBorders>
              <w:top w:val="nil"/>
              <w:left w:val="nil"/>
              <w:bottom w:val="nil"/>
              <w:right w:val="nil"/>
            </w:tcBorders>
            <w:vAlign w:val="center"/>
          </w:tcPr>
          <w:p>
            <w:pPr>
              <w:widowControl/>
              <w:wordWrap/>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426" w:type="dxa"/>
            <w:gridSpan w:val="6"/>
            <w:tcBorders>
              <w:top w:val="nil"/>
              <w:left w:val="nil"/>
              <w:bottom w:val="single" w:color="000000" w:sz="4" w:space="0"/>
              <w:right w:val="nil"/>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jc w:val="center"/>
        </w:trPr>
        <w:tc>
          <w:tcPr>
            <w:tcW w:w="367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项目名称</w:t>
            </w:r>
          </w:p>
        </w:tc>
        <w:tc>
          <w:tcPr>
            <w:tcW w:w="474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“审计外勤专项项目”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367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预算单位</w:t>
            </w:r>
          </w:p>
        </w:tc>
        <w:tc>
          <w:tcPr>
            <w:tcW w:w="474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泸县审计局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1066" w:type="dxa"/>
            <w:tcBorders>
              <w:top w:val="nil"/>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预算执行情况(万元)</w:t>
            </w: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预算数:</w:t>
            </w:r>
          </w:p>
        </w:tc>
        <w:tc>
          <w:tcPr>
            <w:tcW w:w="1493"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c>
          <w:tcPr>
            <w:tcW w:w="194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执行数:</w:t>
            </w:r>
          </w:p>
        </w:tc>
        <w:tc>
          <w:tcPr>
            <w:tcW w:w="130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066"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1493"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c>
          <w:tcPr>
            <w:tcW w:w="194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130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66"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1493"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94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130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066" w:type="dxa"/>
            <w:vMerge w:val="restart"/>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年度目标完成情况</w:t>
            </w:r>
          </w:p>
        </w:tc>
        <w:tc>
          <w:tcPr>
            <w:tcW w:w="4106"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预期目标</w:t>
            </w:r>
          </w:p>
        </w:tc>
        <w:tc>
          <w:tcPr>
            <w:tcW w:w="325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jc w:val="center"/>
        </w:trPr>
        <w:tc>
          <w:tcPr>
            <w:tcW w:w="1066" w:type="dxa"/>
            <w:vMerge w:val="continue"/>
            <w:tcBorders>
              <w:top w:val="single" w:color="000000" w:sz="4" w:space="0"/>
              <w:left w:val="single" w:color="000000" w:sz="4" w:space="0"/>
              <w:bottom w:val="nil"/>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4106" w:type="dxa"/>
            <w:gridSpan w:val="3"/>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实施年度计划内的审计项目个数≥</w:t>
            </w:r>
            <w:r>
              <w:rPr>
                <w:rFonts w:hint="eastAsia" w:ascii="宋体" w:hAnsi="宋体" w:cs="宋体"/>
                <w:i w:val="0"/>
                <w:iCs w:val="0"/>
                <w:color w:val="auto"/>
                <w:kern w:val="0"/>
                <w:sz w:val="21"/>
                <w:szCs w:val="21"/>
                <w:u w:val="none"/>
                <w:lang w:val="en-US" w:eastAsia="zh-CN"/>
              </w:rPr>
              <w:t>20</w:t>
            </w:r>
            <w:r>
              <w:rPr>
                <w:rFonts w:hint="eastAsia" w:ascii="宋体" w:hAnsi="宋体" w:eastAsia="宋体" w:cs="宋体"/>
                <w:i w:val="0"/>
                <w:iCs w:val="0"/>
                <w:color w:val="auto"/>
                <w:kern w:val="0"/>
                <w:sz w:val="21"/>
                <w:szCs w:val="21"/>
                <w:u w:val="none"/>
                <w:lang w:val="en-US" w:eastAsia="zh-CN"/>
              </w:rPr>
              <w:t>个，审计项目完成时间2021年，审计成本≤38万元</w:t>
            </w:r>
          </w:p>
        </w:tc>
        <w:tc>
          <w:tcPr>
            <w:tcW w:w="3254" w:type="dxa"/>
            <w:gridSpan w:val="2"/>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w:t>
            </w:r>
            <w:r>
              <w:rPr>
                <w:rFonts w:hint="eastAsia" w:ascii="宋体" w:hAnsi="宋体" w:cs="宋体"/>
                <w:i w:val="0"/>
                <w:iCs w:val="0"/>
                <w:color w:val="auto"/>
                <w:kern w:val="0"/>
                <w:sz w:val="21"/>
                <w:szCs w:val="21"/>
                <w:u w:val="none"/>
                <w:lang w:val="en-US" w:eastAsia="zh-CN"/>
              </w:rPr>
              <w:t>2</w:t>
            </w:r>
            <w:r>
              <w:rPr>
                <w:rFonts w:hint="eastAsia" w:ascii="宋体" w:hAnsi="宋体" w:eastAsia="宋体" w:cs="宋体"/>
                <w:i w:val="0"/>
                <w:iCs w:val="0"/>
                <w:color w:val="auto"/>
                <w:kern w:val="0"/>
                <w:sz w:val="21"/>
                <w:szCs w:val="21"/>
                <w:u w:val="none"/>
                <w:lang w:val="en-US" w:eastAsia="zh-CN"/>
              </w:rPr>
              <w:t>年完成</w:t>
            </w:r>
            <w:r>
              <w:rPr>
                <w:rFonts w:hint="eastAsia" w:ascii="宋体" w:hAnsi="宋体" w:cs="宋体"/>
                <w:i w:val="0"/>
                <w:iCs w:val="0"/>
                <w:color w:val="auto"/>
                <w:kern w:val="0"/>
                <w:sz w:val="21"/>
                <w:szCs w:val="21"/>
                <w:u w:val="none"/>
                <w:lang w:val="en-US" w:eastAsia="zh-CN"/>
              </w:rPr>
              <w:t>24</w:t>
            </w:r>
            <w:r>
              <w:rPr>
                <w:rFonts w:hint="eastAsia" w:ascii="宋体" w:hAnsi="宋体" w:eastAsia="宋体" w:cs="宋体"/>
                <w:i w:val="0"/>
                <w:iCs w:val="0"/>
                <w:color w:val="auto"/>
                <w:kern w:val="0"/>
                <w:sz w:val="21"/>
                <w:szCs w:val="21"/>
                <w:u w:val="none"/>
                <w:lang w:val="en-US" w:eastAsia="zh-CN"/>
              </w:rPr>
              <w:t>个项目审计。项目资金支出为38万元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绩效指标完成情况</w:t>
            </w:r>
          </w:p>
        </w:tc>
        <w:tc>
          <w:tcPr>
            <w:tcW w:w="1581"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一级指标</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二级指标</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三级指标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预期指标值(包含数字及文字描述)</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restart"/>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项目完成指标</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数量指标</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实施年度计划内的审计项目（除政府投资建设工程审计）个数</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w:t>
            </w:r>
            <w:r>
              <w:rPr>
                <w:rFonts w:hint="eastAsia" w:ascii="宋体" w:hAnsi="宋体" w:cs="宋体"/>
                <w:i w:val="0"/>
                <w:iCs w:val="0"/>
                <w:color w:val="auto"/>
                <w:kern w:val="0"/>
                <w:sz w:val="21"/>
                <w:szCs w:val="21"/>
                <w:u w:val="none"/>
                <w:lang w:val="en-US" w:eastAsia="zh-CN"/>
              </w:rPr>
              <w:t>20</w:t>
            </w:r>
            <w:r>
              <w:rPr>
                <w:rFonts w:hint="eastAsia" w:ascii="宋体" w:hAnsi="宋体" w:eastAsia="宋体" w:cs="宋体"/>
                <w:i w:val="0"/>
                <w:iCs w:val="0"/>
                <w:color w:val="auto"/>
                <w:kern w:val="0"/>
                <w:sz w:val="21"/>
                <w:szCs w:val="21"/>
                <w:u w:val="none"/>
                <w:lang w:val="en-US" w:eastAsia="zh-CN"/>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continue"/>
            <w:tcBorders>
              <w:top w:val="single" w:color="000000" w:sz="4" w:space="0"/>
              <w:left w:val="nil"/>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032"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493"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外勤审计项目成本</w:t>
            </w:r>
          </w:p>
        </w:tc>
        <w:tc>
          <w:tcPr>
            <w:tcW w:w="194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c>
          <w:tcPr>
            <w:tcW w:w="130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continue"/>
            <w:tcBorders>
              <w:top w:val="single" w:color="000000" w:sz="4" w:space="0"/>
              <w:left w:val="nil"/>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032"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493"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完成时间</w:t>
            </w:r>
          </w:p>
        </w:tc>
        <w:tc>
          <w:tcPr>
            <w:tcW w:w="194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r>
              <w:rPr>
                <w:rFonts w:hint="eastAsia" w:ascii="宋体" w:hAnsi="宋体" w:cs="宋体"/>
                <w:i w:val="0"/>
                <w:iCs w:val="0"/>
                <w:color w:val="000000"/>
                <w:kern w:val="0"/>
                <w:sz w:val="21"/>
                <w:szCs w:val="21"/>
                <w:u w:val="none"/>
                <w:lang w:val="en-US" w:eastAsia="zh-CN"/>
              </w:rPr>
              <w:t>22</w:t>
            </w:r>
            <w:r>
              <w:rPr>
                <w:rFonts w:hint="eastAsia" w:ascii="宋体" w:hAnsi="宋体" w:eastAsia="宋体" w:cs="宋体"/>
                <w:i w:val="0"/>
                <w:iCs w:val="0"/>
                <w:color w:val="000000"/>
                <w:kern w:val="0"/>
                <w:sz w:val="21"/>
                <w:szCs w:val="21"/>
                <w:u w:val="none"/>
                <w:lang w:val="en-US" w:eastAsia="zh-CN"/>
              </w:rPr>
              <w:t>年</w:t>
            </w:r>
          </w:p>
        </w:tc>
        <w:tc>
          <w:tcPr>
            <w:tcW w:w="130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r>
              <w:rPr>
                <w:rFonts w:hint="eastAsia" w:ascii="宋体" w:hAnsi="宋体" w:cs="宋体"/>
                <w:i w:val="0"/>
                <w:iCs w:val="0"/>
                <w:color w:val="000000"/>
                <w:kern w:val="0"/>
                <w:sz w:val="21"/>
                <w:szCs w:val="21"/>
                <w:u w:val="none"/>
                <w:lang w:val="en-US" w:eastAsia="zh-CN"/>
              </w:rPr>
              <w:t>22</w:t>
            </w:r>
            <w:r>
              <w:rPr>
                <w:rFonts w:hint="eastAsia" w:ascii="宋体" w:hAnsi="宋体" w:eastAsia="宋体" w:cs="宋体"/>
                <w:i w:val="0"/>
                <w:iCs w:val="0"/>
                <w:color w:val="000000"/>
                <w:kern w:val="0"/>
                <w:sz w:val="21"/>
                <w:szCs w:val="21"/>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被审计单位满意度</w:t>
            </w:r>
          </w:p>
        </w:tc>
        <w:tc>
          <w:tcPr>
            <w:tcW w:w="1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r>
    </w:tbl>
    <w:p>
      <w:pPr>
        <w:widowControl/>
        <w:wordWrap/>
        <w:jc w:val="both"/>
        <w:rPr>
          <w:rStyle w:val="31"/>
          <w:rFonts w:ascii="黑体" w:hAnsi="黑体" w:eastAsia="黑体"/>
          <w:b w:val="0"/>
          <w:color w:val="auto"/>
          <w:highlight w:val="none"/>
        </w:rPr>
      </w:pPr>
    </w:p>
    <w:p>
      <w:pPr>
        <w:pStyle w:val="5"/>
        <w:wordWrap/>
        <w:jc w:val="both"/>
        <w:rPr>
          <w:rStyle w:val="31"/>
          <w:rFonts w:ascii="黑体" w:hAnsi="黑体" w:eastAsia="黑体"/>
          <w:b w:val="0"/>
          <w:color w:val="auto"/>
          <w:highlight w:val="none"/>
        </w:rPr>
      </w:pPr>
    </w:p>
    <w:p>
      <w:pPr>
        <w:wordWrap/>
        <w:jc w:val="both"/>
      </w:pPr>
    </w:p>
    <w:p>
      <w:pPr>
        <w:pStyle w:val="6"/>
        <w:wordWrap/>
        <w:spacing w:before="93" w:line="240" w:lineRule="auto"/>
        <w:jc w:val="both"/>
        <w:rPr>
          <w:lang w:val="zh-CN"/>
        </w:rPr>
      </w:pPr>
      <w:r>
        <w:rPr>
          <w:rFonts w:hint="eastAsia" w:hAnsi="宋体" w:cs="宋体"/>
          <w:sz w:val="32"/>
          <w:szCs w:val="32"/>
          <w:shd w:val="clear" w:color="auto" w:fill="FFFFFF"/>
          <w:lang w:val="zh-CN"/>
        </w:rPr>
        <w:t>附件</w:t>
      </w:r>
    </w:p>
    <w:p>
      <w:pPr>
        <w:wordWrap/>
        <w:spacing w:line="240" w:lineRule="auto"/>
        <w:jc w:val="center"/>
        <w:rPr>
          <w:rFonts w:hint="eastAsia" w:ascii="方正小标宋简体" w:hAnsi="方正小标宋简体" w:eastAsia="方正小标宋简体" w:cs="方正小标宋简体"/>
          <w:sz w:val="40"/>
          <w:szCs w:val="40"/>
          <w:lang w:val="zh-CN"/>
        </w:rPr>
      </w:pPr>
      <w:bookmarkStart w:id="66" w:name="_Toc15154_WPSOffice_Level2"/>
      <w:bookmarkStart w:id="67" w:name="_Toc20798_WPSOffice_Level2"/>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其他运转支出</w:t>
      </w:r>
      <w:r>
        <w:rPr>
          <w:rFonts w:hint="eastAsia" w:ascii="方正小标宋简体" w:hAnsi="方正小标宋简体" w:eastAsia="方正小标宋简体" w:cs="方正小标宋简体"/>
          <w:sz w:val="40"/>
          <w:szCs w:val="40"/>
          <w:lang w:val="zh-CN"/>
        </w:rPr>
        <w:t>专项预算项目支出</w:t>
      </w:r>
      <w:bookmarkEnd w:id="66"/>
      <w:bookmarkEnd w:id="67"/>
    </w:p>
    <w:p>
      <w:pPr>
        <w:wordWrap/>
        <w:spacing w:line="240" w:lineRule="auto"/>
        <w:jc w:val="center"/>
        <w:rPr>
          <w:rFonts w:ascii="方正小标宋简体" w:hAnsi="方正小标宋简体" w:eastAsia="方正小标宋简体" w:cs="方正小标宋简体"/>
          <w:sz w:val="40"/>
          <w:szCs w:val="40"/>
          <w:lang w:val="zh-CN"/>
        </w:rPr>
      </w:pPr>
      <w:bookmarkStart w:id="68" w:name="_Toc21827_WPSOffice_Level2"/>
      <w:bookmarkStart w:id="69" w:name="_Toc6366_WPSOffice_Level2"/>
      <w:r>
        <w:rPr>
          <w:rFonts w:hint="eastAsia" w:ascii="方正小标宋简体" w:hAnsi="方正小标宋简体" w:eastAsia="方正小标宋简体" w:cs="方正小标宋简体"/>
          <w:sz w:val="40"/>
          <w:szCs w:val="40"/>
          <w:lang w:val="zh-CN"/>
        </w:rPr>
        <w:t>绩效自评报告</w:t>
      </w:r>
      <w:bookmarkEnd w:id="68"/>
      <w:bookmarkEnd w:id="69"/>
    </w:p>
    <w:p>
      <w:pPr>
        <w:wordWrap/>
        <w:spacing w:line="240" w:lineRule="auto"/>
        <w:ind w:firstLine="640"/>
        <w:jc w:val="both"/>
        <w:rPr>
          <w:rFonts w:ascii="宋体" w:hAnsi="宋体"/>
          <w:sz w:val="32"/>
          <w:szCs w:val="32"/>
          <w:lang w:val="zh-CN"/>
        </w:rPr>
      </w:pPr>
    </w:p>
    <w:p>
      <w:pPr>
        <w:wordWrap/>
        <w:adjustRightInd w:val="0"/>
        <w:snapToGrid w:val="0"/>
        <w:spacing w:line="579" w:lineRule="exact"/>
        <w:ind w:firstLine="720"/>
        <w:jc w:val="both"/>
        <w:textAlignment w:val="auto"/>
        <w:rPr>
          <w:rFonts w:ascii="黑体" w:hAnsi="宋体" w:eastAsia="黑体"/>
          <w:color w:val="auto"/>
          <w:sz w:val="32"/>
          <w:szCs w:val="32"/>
          <w:lang w:val="zh-CN"/>
        </w:rPr>
      </w:pPr>
      <w:bookmarkStart w:id="70" w:name="_Toc20399_WPSOffice_Level2"/>
      <w:bookmarkStart w:id="71" w:name="_Toc5170_WPSOffice_Level2"/>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bookmarkEnd w:id="70"/>
      <w:bookmarkEnd w:id="71"/>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widowControl w:val="0"/>
        <w:numPr>
          <w:numId w:val="0"/>
        </w:numPr>
        <w:tabs>
          <w:tab w:val="left" w:pos="0"/>
        </w:tabs>
        <w:wordWrap/>
        <w:adjustRightInd w:val="0"/>
        <w:snapToGrid w:val="0"/>
        <w:spacing w:before="0" w:after="0" w:line="579" w:lineRule="exact"/>
        <w:ind w:leftChars="200"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1.</w:t>
      </w:r>
      <w:r>
        <w:rPr>
          <w:rFonts w:hint="eastAsia" w:ascii="仿宋_GB2312" w:hAnsi="宋体" w:eastAsia="仿宋_GB2312"/>
          <w:color w:val="auto"/>
          <w:sz w:val="32"/>
          <w:szCs w:val="32"/>
          <w:lang w:val="zh-CN"/>
        </w:rPr>
        <w:t>说明项目主管部门（单位）在该项目管理中的职能。</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eastAsia="仿宋_GB2312" w:cs="仿宋_GB2312"/>
          <w:i w:val="0"/>
          <w:iCs w:val="0"/>
          <w:caps w:val="0"/>
          <w:color w:val="auto"/>
          <w:spacing w:val="0"/>
          <w:sz w:val="32"/>
          <w:szCs w:val="32"/>
          <w:shd w:val="clear" w:color="090000" w:fill="FFFFFF"/>
          <w:lang w:val="zh-CN"/>
        </w:rPr>
      </w:pPr>
      <w:r>
        <w:rPr>
          <w:rFonts w:hint="eastAsia" w:ascii="仿宋_GB2312" w:eastAsia="仿宋_GB2312" w:cs="仿宋_GB2312"/>
          <w:i w:val="0"/>
          <w:iCs w:val="0"/>
          <w:caps w:val="0"/>
          <w:color w:val="auto"/>
          <w:spacing w:val="0"/>
          <w:sz w:val="32"/>
          <w:szCs w:val="32"/>
          <w:shd w:val="clear" w:color="090000" w:fill="FFFFFF"/>
          <w:lang w:val="zh-CN"/>
        </w:rPr>
        <w:t>维护网络和设备正常使用，保障中介机构和聘用人员高效工作；保障审计业务、上争外引工作等顺利开展。</w:t>
      </w:r>
    </w:p>
    <w:p>
      <w:pPr>
        <w:widowControl w:val="0"/>
        <w:numPr>
          <w:numId w:val="0"/>
        </w:numPr>
        <w:tabs>
          <w:tab w:val="left" w:pos="0"/>
        </w:tabs>
        <w:wordWrap/>
        <w:adjustRightInd w:val="0"/>
        <w:snapToGrid w:val="0"/>
        <w:spacing w:before="0" w:after="0" w:line="579" w:lineRule="exact"/>
        <w:ind w:leftChars="200"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lang w:val="zh-CN"/>
        </w:rPr>
        <w:t>项目立项、资金申报的依据。</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根据县委、县政府工作</w:t>
      </w:r>
      <w:r>
        <w:rPr>
          <w:rFonts w:hint="eastAsia" w:ascii="仿宋_GB2312" w:hAnsi="宋体" w:eastAsia="仿宋_GB2312"/>
          <w:color w:val="auto"/>
          <w:sz w:val="32"/>
          <w:szCs w:val="32"/>
          <w:lang w:val="zh-CN"/>
        </w:rPr>
        <w:t>安排</w:t>
      </w:r>
      <w:r>
        <w:rPr>
          <w:rFonts w:hint="eastAsia" w:ascii="仿宋_GB2312" w:eastAsia="仿宋_GB2312" w:cs="仿宋_GB2312"/>
          <w:i w:val="0"/>
          <w:iCs w:val="0"/>
          <w:caps w:val="0"/>
          <w:color w:val="auto"/>
          <w:spacing w:val="0"/>
          <w:sz w:val="32"/>
          <w:szCs w:val="32"/>
          <w:shd w:val="clear" w:color="090000" w:fill="FFFFFF"/>
        </w:rPr>
        <w:t>及预算管理要求，泸县审计局所有经费均</w:t>
      </w:r>
      <w:r>
        <w:rPr>
          <w:rFonts w:hint="eastAsia" w:ascii="仿宋_GB2312" w:eastAsia="仿宋_GB2312" w:cs="仿宋_GB2312"/>
          <w:i w:val="0"/>
          <w:iCs w:val="0"/>
          <w:caps w:val="0"/>
          <w:color w:val="auto"/>
          <w:spacing w:val="0"/>
          <w:sz w:val="32"/>
          <w:szCs w:val="32"/>
          <w:shd w:val="clear" w:color="090000" w:fill="FFFFFF"/>
          <w:lang w:eastAsia="zh-CN"/>
        </w:rPr>
        <w:t>由</w:t>
      </w:r>
      <w:r>
        <w:rPr>
          <w:rFonts w:hint="eastAsia" w:ascii="仿宋_GB2312" w:eastAsia="仿宋_GB2312" w:cs="仿宋_GB2312"/>
          <w:i w:val="0"/>
          <w:iCs w:val="0"/>
          <w:caps w:val="0"/>
          <w:color w:val="auto"/>
          <w:spacing w:val="0"/>
          <w:sz w:val="32"/>
          <w:szCs w:val="32"/>
          <w:shd w:val="clear" w:color="090000" w:fill="FFFFFF"/>
        </w:rPr>
        <w:t>财政列支，纳入财政年初预算。</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eastAsia="仿宋_GB2312" w:cs="仿宋_GB2312"/>
          <w:i w:val="0"/>
          <w:iCs w:val="0"/>
          <w:caps w:val="0"/>
          <w:color w:val="auto"/>
          <w:spacing w:val="0"/>
          <w:sz w:val="32"/>
          <w:szCs w:val="32"/>
          <w:shd w:val="clear" w:color="090000" w:fill="FFFFFF"/>
          <w:lang w:val="zh-CN"/>
        </w:rPr>
      </w:pPr>
      <w:r>
        <w:rPr>
          <w:rFonts w:hint="eastAsia" w:ascii="仿宋_GB2312" w:eastAsia="仿宋_GB2312" w:cs="仿宋_GB2312"/>
          <w:i w:val="0"/>
          <w:iCs w:val="0"/>
          <w:caps w:val="0"/>
          <w:color w:val="auto"/>
          <w:spacing w:val="0"/>
          <w:sz w:val="32"/>
          <w:szCs w:val="32"/>
          <w:shd w:val="clear" w:color="090000" w:fill="FFFFFF"/>
          <w:lang w:val="en-US" w:eastAsia="zh-CN"/>
        </w:rPr>
        <w:t>3.</w:t>
      </w:r>
      <w:r>
        <w:rPr>
          <w:rFonts w:hint="eastAsia" w:ascii="仿宋_GB2312" w:eastAsia="仿宋_GB2312" w:cs="仿宋_GB2312"/>
          <w:i w:val="0"/>
          <w:iCs w:val="0"/>
          <w:caps w:val="0"/>
          <w:color w:val="auto"/>
          <w:spacing w:val="0"/>
          <w:sz w:val="32"/>
          <w:szCs w:val="32"/>
          <w:shd w:val="clear" w:color="090000" w:fill="FFFFFF"/>
          <w:lang w:val="zh-CN"/>
        </w:rPr>
        <w:t>资金管理办法制定情况，资金支持具体项目的条件、范围与支持方式概况。</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eastAsia="仿宋_GB2312" w:cs="仿宋_GB2312"/>
          <w:i w:val="0"/>
          <w:iCs w:val="0"/>
          <w:caps w:val="0"/>
          <w:color w:val="auto"/>
          <w:spacing w:val="0"/>
          <w:sz w:val="32"/>
          <w:szCs w:val="32"/>
        </w:rPr>
      </w:pPr>
      <w:r>
        <w:rPr>
          <w:rFonts w:hint="eastAsia" w:ascii="仿宋_GB2312" w:eastAsia="仿宋_GB2312" w:cs="仿宋_GB2312"/>
          <w:i w:val="0"/>
          <w:iCs w:val="0"/>
          <w:caps w:val="0"/>
          <w:color w:val="auto"/>
          <w:spacing w:val="0"/>
          <w:sz w:val="32"/>
          <w:szCs w:val="32"/>
          <w:shd w:val="clear" w:color="090000" w:fill="FFFFFF"/>
        </w:rPr>
        <w:t>为进一步加强财政预算资金管理，提高资金使用效率，由单位行政办公室牵头根据收支情况制定资金计划。严格资金支付程序，始终将内部控制制度贯穿资金使用，大额资金支付均通过局党组会议讨论，杜绝“一支笔”签审使用资金。加强备用金、存货和固定资产管理，严格票据审核和原始凭据粘贴，坚决按照预算编制、申报范围列支经常性项目经费。</w:t>
      </w:r>
    </w:p>
    <w:p>
      <w:pPr>
        <w:widowControl w:val="0"/>
        <w:numPr>
          <w:numId w:val="0"/>
        </w:numPr>
        <w:tabs>
          <w:tab w:val="left" w:pos="0"/>
        </w:tabs>
        <w:wordWrap/>
        <w:adjustRightInd w:val="0"/>
        <w:snapToGrid w:val="0"/>
        <w:spacing w:before="0" w:after="0" w:line="579" w:lineRule="exact"/>
        <w:ind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4.</w:t>
      </w:r>
      <w:r>
        <w:rPr>
          <w:rFonts w:hint="eastAsia" w:ascii="仿宋_GB2312" w:hAnsi="宋体" w:eastAsia="仿宋_GB2312"/>
          <w:color w:val="auto"/>
          <w:sz w:val="32"/>
          <w:szCs w:val="32"/>
          <w:lang w:val="zh-CN"/>
        </w:rPr>
        <w:t>资金分配的原则及考虑因素。</w:t>
      </w:r>
    </w:p>
    <w:p>
      <w:pPr>
        <w:widowControl w:val="0"/>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在预算限额内，保证网络运行通畅；</w:t>
      </w:r>
      <w:r>
        <w:rPr>
          <w:rFonts w:hint="eastAsia" w:ascii="仿宋_GB2312" w:eastAsia="仿宋_GB2312" w:cs="仿宋_GB2312"/>
          <w:i w:val="0"/>
          <w:iCs w:val="0"/>
          <w:caps w:val="0"/>
          <w:color w:val="auto"/>
          <w:spacing w:val="0"/>
          <w:sz w:val="32"/>
          <w:szCs w:val="32"/>
          <w:shd w:val="clear" w:color="090000" w:fill="FFFFFF"/>
          <w:lang w:val="zh-CN"/>
        </w:rPr>
        <w:t>为全覆盖审计租赁设备、对智慧监督平台进行二级等级保护及平台运行维护；</w:t>
      </w:r>
      <w:r>
        <w:rPr>
          <w:rFonts w:hint="eastAsia" w:ascii="仿宋_GB2312" w:hAnsi="宋体" w:eastAsia="仿宋_GB2312"/>
          <w:color w:val="auto"/>
          <w:sz w:val="32"/>
          <w:szCs w:val="32"/>
          <w:lang w:val="zh-CN"/>
        </w:rPr>
        <w:t>保证中介机构和聘用人员审计经费。</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val="0"/>
        <w:numPr>
          <w:numId w:val="0"/>
        </w:numPr>
        <w:tabs>
          <w:tab w:val="left" w:pos="0"/>
        </w:tabs>
        <w:wordWrap/>
        <w:adjustRightInd w:val="0"/>
        <w:snapToGrid w:val="0"/>
        <w:spacing w:before="0" w:after="0" w:line="579" w:lineRule="exact"/>
        <w:ind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1.</w:t>
      </w:r>
      <w:r>
        <w:rPr>
          <w:rFonts w:hint="eastAsia" w:ascii="仿宋_GB2312" w:hAnsi="宋体" w:eastAsia="仿宋_GB2312"/>
          <w:color w:val="auto"/>
          <w:sz w:val="32"/>
          <w:szCs w:val="32"/>
          <w:lang w:val="zh-CN"/>
        </w:rPr>
        <w:t>项目主要内容。</w:t>
      </w:r>
    </w:p>
    <w:p>
      <w:pPr>
        <w:widowControl w:val="0"/>
        <w:wordWrap/>
        <w:adjustRightInd w:val="0"/>
        <w:snapToGrid w:val="0"/>
        <w:spacing w:before="0" w:after="0" w:line="579" w:lineRule="exact"/>
        <w:ind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val="zh-CN"/>
        </w:rPr>
        <w:t>按时缴费，及时通知网络运营商维修升级；</w:t>
      </w:r>
      <w:r>
        <w:rPr>
          <w:rFonts w:hint="eastAsia" w:ascii="仿宋_GB2312" w:hAnsi="宋体" w:eastAsia="仿宋_GB2312"/>
          <w:color w:val="auto"/>
          <w:sz w:val="32"/>
          <w:szCs w:val="32"/>
          <w:lang w:val="en-US" w:eastAsia="zh-CN"/>
        </w:rPr>
        <w:t xml:space="preserve"> 保证租赁设备和智慧监督平台正常运行；</w:t>
      </w:r>
      <w:r>
        <w:rPr>
          <w:rFonts w:hint="eastAsia" w:ascii="仿宋_GB2312" w:hAnsi="宋体" w:eastAsia="仿宋_GB2312"/>
          <w:color w:val="auto"/>
          <w:sz w:val="32"/>
          <w:szCs w:val="32"/>
          <w:lang w:val="zh-CN"/>
        </w:rPr>
        <w:t>按时为中介机构和聘用人员结清费用，保障审计项目正常运行，达到预期效果。</w:t>
      </w:r>
    </w:p>
    <w:p>
      <w:pPr>
        <w:widowControl w:val="0"/>
        <w:numPr>
          <w:numId w:val="0"/>
        </w:numPr>
        <w:tabs>
          <w:tab w:val="left" w:pos="0"/>
        </w:tabs>
        <w:wordWrap/>
        <w:adjustRightInd w:val="0"/>
        <w:snapToGrid w:val="0"/>
        <w:spacing w:before="0" w:after="0" w:line="579" w:lineRule="exact"/>
        <w:ind w:right="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lang w:val="zh-CN"/>
        </w:rPr>
        <w:t>项目应实现的具体绩效目标，包括目标的量化、细化情况以及项目实施进度计划等。</w:t>
      </w:r>
    </w:p>
    <w:p>
      <w:pPr>
        <w:widowControl w:val="0"/>
        <w:numPr>
          <w:numId w:val="0"/>
        </w:numPr>
        <w:tabs>
          <w:tab w:val="left" w:pos="0"/>
        </w:tabs>
        <w:wordWrap/>
        <w:adjustRightInd w:val="0"/>
        <w:snapToGrid w:val="0"/>
        <w:spacing w:before="0" w:after="0" w:line="579" w:lineRule="exact"/>
        <w:ind w:right="0" w:firstLine="640"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财政联网审计网络运行率100%，维护财政联网审计网络次数≥1</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次；计划内政府投资项目审计额≥</w:t>
      </w:r>
      <w:r>
        <w:rPr>
          <w:rFonts w:hint="eastAsia" w:ascii="仿宋_GB2312" w:hAnsi="宋体" w:eastAsia="仿宋_GB2312"/>
          <w:color w:val="auto"/>
          <w:sz w:val="32"/>
          <w:szCs w:val="32"/>
          <w:lang w:val="en-US" w:eastAsia="zh-CN"/>
        </w:rPr>
        <w:t>5000万元；向上争取资金数</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20万元 ；中介机构及外聘人员工作效率优。</w:t>
      </w:r>
    </w:p>
    <w:p>
      <w:pPr>
        <w:widowControl w:val="0"/>
        <w:numPr>
          <w:numId w:val="0"/>
        </w:numPr>
        <w:tabs>
          <w:tab w:val="left" w:pos="0"/>
        </w:tabs>
        <w:wordWrap/>
        <w:adjustRightInd w:val="0"/>
        <w:snapToGrid w:val="0"/>
        <w:spacing w:before="0" w:after="0" w:line="579" w:lineRule="exact"/>
        <w:ind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分析评价申报内容是否与实际相符，申报目标是否合理可行。</w:t>
      </w:r>
    </w:p>
    <w:p>
      <w:pPr>
        <w:widowControl w:val="0"/>
        <w:numPr>
          <w:numId w:val="0"/>
        </w:numPr>
        <w:tabs>
          <w:tab w:val="left" w:pos="0"/>
        </w:tabs>
        <w:wordWrap/>
        <w:adjustRightInd w:val="0"/>
        <w:snapToGrid w:val="0"/>
        <w:spacing w:before="0" w:after="0" w:line="579" w:lineRule="exact"/>
        <w:ind w:left="0" w:leftChars="0" w:right="0" w:firstLine="640" w:firstLineChars="200"/>
        <w:jc w:val="both"/>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申报内容与实际相符，申报目标合理可行。</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泸县审计局主要采取自评方式，成立项目自评小组，结合县委、县政府工作安排及审计局年初工作计划，开展自评工作。按照上级下达的项目支出绩效评价指标体系，针对申报内容、实施情况从数量、质量、成本、经济和社会效益指标等方面做出自我评价。</w:t>
      </w:r>
    </w:p>
    <w:p>
      <w:pPr>
        <w:wordWrap/>
        <w:adjustRightInd w:val="0"/>
        <w:snapToGrid w:val="0"/>
        <w:spacing w:line="579" w:lineRule="exact"/>
        <w:ind w:firstLine="720"/>
        <w:jc w:val="both"/>
        <w:textAlignment w:val="auto"/>
        <w:rPr>
          <w:rFonts w:ascii="黑体" w:hAnsi="宋体" w:eastAsia="黑体"/>
          <w:color w:val="auto"/>
          <w:sz w:val="32"/>
          <w:szCs w:val="32"/>
        </w:rPr>
      </w:pPr>
      <w:bookmarkStart w:id="72" w:name="_Toc29740_WPSOffice_Level2"/>
      <w:bookmarkStart w:id="73" w:name="_Toc10266_WPSOffice_Level2"/>
      <w:r>
        <w:rPr>
          <w:rFonts w:hint="eastAsia" w:ascii="黑体" w:hAnsi="宋体" w:eastAsia="黑体"/>
          <w:color w:val="auto"/>
          <w:sz w:val="32"/>
          <w:szCs w:val="32"/>
        </w:rPr>
        <w:t>二、项目资金申报及使用情况</w:t>
      </w:r>
      <w:bookmarkEnd w:id="72"/>
      <w:bookmarkEnd w:id="73"/>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hAnsi="宋体" w:eastAsia="仿宋_GB2312"/>
          <w:color w:val="auto"/>
          <w:sz w:val="32"/>
          <w:szCs w:val="32"/>
          <w:lang w:val="zh-CN"/>
        </w:rPr>
      </w:pPr>
      <w:r>
        <w:rPr>
          <w:rFonts w:hint="eastAsia" w:ascii="仿宋_GB2312" w:eastAsia="仿宋_GB2312" w:cs="仿宋_GB2312"/>
          <w:i w:val="0"/>
          <w:iCs w:val="0"/>
          <w:caps w:val="0"/>
          <w:color w:val="auto"/>
          <w:spacing w:val="0"/>
          <w:sz w:val="32"/>
          <w:szCs w:val="32"/>
          <w:shd w:val="clear" w:color="090000" w:fill="FFFFFF"/>
        </w:rPr>
        <w:t>项目资金年初预算</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万元，财政批复金额</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rPr>
      </w:pPr>
      <w:r>
        <w:rPr>
          <w:rFonts w:ascii="楷体_GB2312" w:hAnsi="宋体" w:eastAsia="楷体_GB2312"/>
          <w:color w:val="auto"/>
          <w:sz w:val="32"/>
          <w:szCs w:val="32"/>
          <w:lang w:val="zh-CN"/>
        </w:rPr>
        <w:t>1</w:t>
      </w:r>
      <w:r>
        <w:rPr>
          <w:rFonts w:hint="eastAsia" w:ascii="楷体_GB2312" w:hAnsi="宋体" w:eastAsia="楷体_GB2312"/>
          <w:color w:val="auto"/>
          <w:sz w:val="32"/>
          <w:szCs w:val="32"/>
          <w:lang w:val="zh-CN"/>
        </w:rPr>
        <w:t>．资金计划。</w:t>
      </w:r>
      <w:r>
        <w:rPr>
          <w:rFonts w:hint="eastAsia" w:ascii="仿宋_GB2312" w:eastAsia="仿宋_GB2312" w:cs="仿宋_GB2312"/>
          <w:i w:val="0"/>
          <w:iCs w:val="0"/>
          <w:caps w:val="0"/>
          <w:color w:val="auto"/>
          <w:spacing w:val="0"/>
          <w:sz w:val="32"/>
          <w:szCs w:val="32"/>
          <w:shd w:val="clear" w:color="090000" w:fill="FFFFFF"/>
        </w:rPr>
        <w:t>项目资金年初预算</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万元，均为财政拨款资金。</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2</w:t>
      </w:r>
      <w:r>
        <w:rPr>
          <w:rFonts w:hint="eastAsia" w:ascii="楷体_GB2312" w:hAnsi="宋体" w:eastAsia="楷体_GB2312"/>
          <w:color w:val="auto"/>
          <w:sz w:val="32"/>
          <w:szCs w:val="32"/>
          <w:lang w:val="zh-CN"/>
        </w:rPr>
        <w:t>．资金到位。</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年12月31日，财政划拨资金</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万元，完成资金计划的100%，为审计业务开展</w:t>
      </w:r>
      <w:r>
        <w:rPr>
          <w:rFonts w:hint="eastAsia" w:ascii="仿宋_GB2312" w:eastAsia="仿宋_GB2312" w:cs="仿宋_GB2312"/>
          <w:i w:val="0"/>
          <w:iCs w:val="0"/>
          <w:caps w:val="0"/>
          <w:color w:val="auto"/>
          <w:spacing w:val="0"/>
          <w:sz w:val="32"/>
          <w:szCs w:val="32"/>
          <w:shd w:val="clear" w:color="090000" w:fill="FFFFFF"/>
          <w:lang w:eastAsia="zh-CN"/>
        </w:rPr>
        <w:t>、日常办公</w:t>
      </w:r>
      <w:r>
        <w:rPr>
          <w:rFonts w:hint="eastAsia" w:ascii="仿宋_GB2312" w:eastAsia="仿宋_GB2312" w:cs="仿宋_GB2312"/>
          <w:i w:val="0"/>
          <w:iCs w:val="0"/>
          <w:caps w:val="0"/>
          <w:color w:val="auto"/>
          <w:spacing w:val="0"/>
          <w:sz w:val="32"/>
          <w:szCs w:val="32"/>
          <w:shd w:val="clear" w:color="090000" w:fill="FFFFFF"/>
        </w:rPr>
        <w:t>提供了</w:t>
      </w:r>
      <w:r>
        <w:rPr>
          <w:rFonts w:hint="eastAsia" w:ascii="仿宋_GB2312" w:eastAsia="仿宋_GB2312" w:cs="仿宋_GB2312"/>
          <w:i w:val="0"/>
          <w:iCs w:val="0"/>
          <w:caps w:val="0"/>
          <w:color w:val="auto"/>
          <w:spacing w:val="0"/>
          <w:sz w:val="32"/>
          <w:szCs w:val="32"/>
          <w:shd w:val="clear" w:color="090000" w:fill="FFFFFF"/>
          <w:lang w:eastAsia="zh-CN"/>
        </w:rPr>
        <w:t>网络和经费</w:t>
      </w:r>
      <w:r>
        <w:rPr>
          <w:rFonts w:hint="eastAsia" w:ascii="仿宋_GB2312" w:eastAsia="仿宋_GB2312" w:cs="仿宋_GB2312"/>
          <w:i w:val="0"/>
          <w:iCs w:val="0"/>
          <w:caps w:val="0"/>
          <w:color w:val="auto"/>
          <w:spacing w:val="0"/>
          <w:sz w:val="32"/>
          <w:szCs w:val="32"/>
          <w:shd w:val="clear" w:color="090000" w:fill="FFFFFF"/>
        </w:rPr>
        <w:t>保障。</w:t>
      </w:r>
    </w:p>
    <w:p>
      <w:pPr>
        <w:pStyle w:val="15"/>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579" w:lineRule="exact"/>
        <w:ind w:left="0" w:right="0" w:firstLine="720"/>
        <w:jc w:val="both"/>
        <w:textAlignment w:val="auto"/>
        <w:rPr>
          <w:rFonts w:hint="eastAsia" w:ascii="仿宋_GB2312" w:eastAsia="仿宋_GB2312" w:cs="仿宋_GB2312"/>
          <w:i w:val="0"/>
          <w:iCs w:val="0"/>
          <w:caps w:val="0"/>
          <w:color w:val="auto"/>
          <w:spacing w:val="0"/>
          <w:sz w:val="32"/>
          <w:szCs w:val="32"/>
        </w:rPr>
      </w:pPr>
      <w:r>
        <w:rPr>
          <w:rFonts w:ascii="楷体_GB2312" w:hAnsi="宋体" w:eastAsia="楷体_GB2312"/>
          <w:color w:val="auto"/>
          <w:sz w:val="32"/>
          <w:szCs w:val="32"/>
          <w:lang w:val="zh-CN"/>
        </w:rPr>
        <w:t>3</w:t>
      </w:r>
      <w:r>
        <w:rPr>
          <w:rFonts w:hint="eastAsia" w:ascii="楷体_GB2312" w:hAnsi="宋体" w:eastAsia="楷体_GB2312"/>
          <w:color w:val="auto"/>
          <w:sz w:val="32"/>
          <w:szCs w:val="32"/>
          <w:lang w:val="zh-CN"/>
        </w:rPr>
        <w:t>．资金使用。</w:t>
      </w:r>
      <w:r>
        <w:rPr>
          <w:rFonts w:hint="eastAsia" w:ascii="仿宋_GB2312" w:eastAsia="仿宋_GB2312" w:cs="仿宋_GB2312"/>
          <w:i w:val="0"/>
          <w:iCs w:val="0"/>
          <w:caps w:val="0"/>
          <w:color w:val="auto"/>
          <w:spacing w:val="0"/>
          <w:sz w:val="32"/>
          <w:szCs w:val="32"/>
          <w:shd w:val="clear" w:color="090000" w:fill="FFFFFF"/>
          <w:lang w:eastAsia="zh-CN"/>
        </w:rPr>
        <w:t>截至</w:t>
      </w:r>
      <w:r>
        <w:rPr>
          <w:rFonts w:hint="eastAsia" w:ascii="仿宋_GB2312" w:eastAsia="仿宋_GB2312" w:cs="仿宋_GB2312"/>
          <w:i w:val="0"/>
          <w:iCs w:val="0"/>
          <w:caps w:val="0"/>
          <w:color w:val="auto"/>
          <w:spacing w:val="0"/>
          <w:sz w:val="32"/>
          <w:szCs w:val="32"/>
          <w:shd w:val="clear" w:color="090000" w:fill="FFFFFF"/>
        </w:rPr>
        <w:t>20</w:t>
      </w:r>
      <w:r>
        <w:rPr>
          <w:rFonts w:hint="eastAsia" w:ascii="仿宋_GB2312" w:eastAsia="仿宋_GB2312" w:cs="仿宋_GB2312"/>
          <w:i w:val="0"/>
          <w:iCs w:val="0"/>
          <w:caps w:val="0"/>
          <w:color w:val="auto"/>
          <w:spacing w:val="0"/>
          <w:sz w:val="32"/>
          <w:szCs w:val="32"/>
          <w:shd w:val="clear" w:color="090000" w:fill="FFFFFF"/>
          <w:lang w:val="en-US" w:eastAsia="zh-CN"/>
        </w:rPr>
        <w:t>22</w:t>
      </w:r>
      <w:r>
        <w:rPr>
          <w:rFonts w:hint="eastAsia" w:ascii="仿宋_GB2312" w:eastAsia="仿宋_GB2312" w:cs="仿宋_GB2312"/>
          <w:i w:val="0"/>
          <w:iCs w:val="0"/>
          <w:caps w:val="0"/>
          <w:color w:val="auto"/>
          <w:spacing w:val="0"/>
          <w:sz w:val="32"/>
          <w:szCs w:val="32"/>
          <w:shd w:val="clear" w:color="090000" w:fill="FFFFFF"/>
        </w:rPr>
        <w:t>年12月31日，项目资金支出</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泸县审计局财务管理制度健全，严格执行财务管理制度，账务处理及时，会计核算规范。</w:t>
      </w:r>
    </w:p>
    <w:p>
      <w:pPr>
        <w:wordWrap/>
        <w:adjustRightInd w:val="0"/>
        <w:snapToGrid w:val="0"/>
        <w:spacing w:line="579" w:lineRule="exact"/>
        <w:ind w:firstLine="720"/>
        <w:jc w:val="both"/>
        <w:textAlignment w:val="auto"/>
        <w:rPr>
          <w:rFonts w:ascii="黑体" w:hAnsi="宋体" w:eastAsia="黑体"/>
          <w:color w:val="auto"/>
          <w:sz w:val="32"/>
          <w:szCs w:val="32"/>
        </w:rPr>
      </w:pPr>
      <w:bookmarkStart w:id="74" w:name="_Toc30321_WPSOffice_Level2"/>
      <w:bookmarkStart w:id="75" w:name="_Toc29021_WPSOffice_Level2"/>
      <w:r>
        <w:rPr>
          <w:rFonts w:hint="eastAsia" w:ascii="黑体" w:hAnsi="宋体" w:eastAsia="黑体"/>
          <w:color w:val="auto"/>
          <w:sz w:val="32"/>
          <w:szCs w:val="32"/>
        </w:rPr>
        <w:t>三、项目实施及管理情况</w:t>
      </w:r>
      <w:bookmarkEnd w:id="74"/>
      <w:bookmarkEnd w:id="75"/>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结合项目组织实施管理办法，重点围绕以下内容进行分析评价，并对自评中发现的问题分析说明。</w:t>
      </w:r>
    </w:p>
    <w:p>
      <w:pPr>
        <w:wordWrap/>
        <w:adjustRightInd w:val="0"/>
        <w:snapToGrid w:val="0"/>
        <w:spacing w:line="579" w:lineRule="exact"/>
        <w:ind w:firstLine="720"/>
        <w:jc w:val="both"/>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wordWrap/>
        <w:adjustRightInd w:val="0"/>
        <w:snapToGrid w:val="0"/>
        <w:spacing w:line="579" w:lineRule="exact"/>
        <w:ind w:firstLine="720"/>
        <w:jc w:val="both"/>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由业务股室提出需求，涉及金额较大的事项经党组会讨论通过后按相关规定执行。</w:t>
      </w:r>
    </w:p>
    <w:p>
      <w:pPr>
        <w:wordWrap/>
        <w:adjustRightInd w:val="0"/>
        <w:snapToGrid w:val="0"/>
        <w:spacing w:line="579" w:lineRule="exact"/>
        <w:ind w:firstLine="720"/>
        <w:jc w:val="both"/>
        <w:textAlignment w:val="auto"/>
        <w:rPr>
          <w:rFonts w:hint="eastAsia" w:ascii="仿宋_GB2312" w:hAnsi="宋体" w:eastAsia="仿宋_GB2312"/>
          <w:color w:val="auto"/>
          <w:sz w:val="32"/>
          <w:szCs w:val="32"/>
          <w:lang w:val="zh-CN"/>
        </w:rPr>
      </w:pPr>
      <w:r>
        <w:rPr>
          <w:rFonts w:hint="eastAsia" w:ascii="楷体_GB2312" w:hAnsi="宋体" w:eastAsia="楷体_GB2312"/>
          <w:b/>
          <w:color w:val="auto"/>
          <w:sz w:val="32"/>
          <w:szCs w:val="32"/>
          <w:lang w:val="zh-CN"/>
        </w:rPr>
        <w:t>（二）项目管理情况。</w:t>
      </w:r>
      <w:r>
        <w:rPr>
          <w:rFonts w:hint="eastAsia" w:ascii="仿宋_GB2312" w:hAnsi="宋体" w:eastAsia="仿宋_GB2312"/>
          <w:color w:val="auto"/>
          <w:sz w:val="32"/>
          <w:szCs w:val="32"/>
          <w:lang w:val="zh-CN"/>
        </w:rPr>
        <w:t>本着节约成本、集体决策的原则，项目实施由多个部门、多个人员参与，相互监督。</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（三）项目监管情况。</w:t>
      </w:r>
      <w:r>
        <w:rPr>
          <w:rFonts w:hint="eastAsia" w:ascii="仿宋_GB2312" w:hAnsi="宋体" w:eastAsia="仿宋_GB2312"/>
          <w:color w:val="auto"/>
          <w:sz w:val="32"/>
          <w:szCs w:val="32"/>
          <w:lang w:val="zh-CN"/>
        </w:rPr>
        <w:t>严格按照政府采购规定和</w:t>
      </w:r>
      <w:r>
        <w:rPr>
          <w:rFonts w:hint="eastAsia" w:ascii="仿宋_GB2312" w:hAnsi="宋体" w:eastAsia="仿宋_GB2312"/>
          <w:sz w:val="32"/>
          <w:szCs w:val="32"/>
          <w:lang w:val="zh-CN"/>
        </w:rPr>
        <w:t>审计“八不准”及“四严禁”工作纪律</w:t>
      </w:r>
      <w:r>
        <w:rPr>
          <w:rFonts w:hint="eastAsia" w:ascii="仿宋_GB2312" w:hAnsi="宋体" w:eastAsia="仿宋_GB2312"/>
          <w:color w:val="auto"/>
          <w:sz w:val="32"/>
          <w:szCs w:val="32"/>
          <w:lang w:val="zh-CN"/>
        </w:rPr>
        <w:t>，履行必要审批手续。</w:t>
      </w:r>
    </w:p>
    <w:p>
      <w:pPr>
        <w:wordWrap/>
        <w:adjustRightInd w:val="0"/>
        <w:snapToGrid w:val="0"/>
        <w:spacing w:line="579" w:lineRule="exact"/>
        <w:ind w:firstLine="720"/>
        <w:jc w:val="both"/>
        <w:textAlignment w:val="auto"/>
        <w:rPr>
          <w:rFonts w:ascii="仿宋_GB2312" w:hAnsi="宋体" w:eastAsia="仿宋_GB2312"/>
          <w:color w:val="auto"/>
          <w:sz w:val="32"/>
          <w:szCs w:val="32"/>
          <w:lang w:val="zh-CN"/>
        </w:rPr>
      </w:pPr>
      <w:bookmarkStart w:id="76" w:name="_Toc2080_WPSOffice_Level2"/>
      <w:bookmarkStart w:id="77" w:name="_Toc23063_WPSOffice_Level2"/>
      <w:r>
        <w:rPr>
          <w:rFonts w:hint="eastAsia" w:ascii="黑体" w:hAnsi="宋体" w:eastAsia="黑体"/>
          <w:color w:val="auto"/>
          <w:sz w:val="32"/>
          <w:szCs w:val="32"/>
        </w:rPr>
        <w:t>四、项目绩效情况</w:t>
      </w:r>
      <w:bookmarkEnd w:id="76"/>
      <w:bookmarkEnd w:id="77"/>
      <w:r>
        <w:rPr>
          <w:rFonts w:ascii="仿宋_GB2312" w:hAnsi="宋体" w:eastAsia="仿宋_GB2312"/>
          <w:color w:val="auto"/>
          <w:sz w:val="32"/>
          <w:szCs w:val="32"/>
          <w:lang w:val="zh-CN"/>
        </w:rPr>
        <w:tab/>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rPr>
      </w:pPr>
      <w:r>
        <w:rPr>
          <w:rFonts w:hint="eastAsia" w:ascii="仿宋_GB2312" w:eastAsia="仿宋_GB2312" w:cs="仿宋_GB2312"/>
          <w:i w:val="0"/>
          <w:iCs w:val="0"/>
          <w:caps w:val="0"/>
          <w:color w:val="auto"/>
          <w:spacing w:val="0"/>
          <w:sz w:val="32"/>
          <w:szCs w:val="32"/>
          <w:shd w:val="clear" w:color="090000" w:fill="FFFFFF"/>
        </w:rPr>
        <w:t>项目资金支出</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wordWrap/>
        <w:adjustRightInd w:val="0"/>
        <w:snapToGrid w:val="0"/>
        <w:spacing w:line="579" w:lineRule="exact"/>
        <w:ind w:firstLine="720"/>
        <w:jc w:val="both"/>
        <w:textAlignment w:val="auto"/>
        <w:rPr>
          <w:rFonts w:hint="eastAsia" w:ascii="黑体" w:hAnsi="宋体" w:eastAsia="黑体"/>
          <w:sz w:val="32"/>
          <w:szCs w:val="32"/>
        </w:rPr>
      </w:pPr>
      <w:bookmarkStart w:id="78" w:name="_Toc10178_WPSOffice_Level2"/>
      <w:bookmarkStart w:id="79" w:name="_Toc722_WPSOffice_Level2"/>
      <w:r>
        <w:rPr>
          <w:rFonts w:hint="eastAsia" w:ascii="仿宋_GB2312" w:hAnsi="宋体" w:eastAsia="仿宋_GB2312"/>
          <w:color w:val="auto"/>
          <w:sz w:val="32"/>
          <w:szCs w:val="32"/>
          <w:lang w:val="zh-CN"/>
        </w:rPr>
        <w:t>项目实施为审计工作的正常开展提供了有力的保障。</w:t>
      </w:r>
      <w:r>
        <w:rPr>
          <w:rFonts w:hint="eastAsia" w:ascii="仿宋_GB2312" w:hAnsi="宋体" w:eastAsia="仿宋_GB2312"/>
          <w:color w:val="auto"/>
          <w:sz w:val="32"/>
          <w:szCs w:val="32"/>
          <w:lang w:val="en-US" w:eastAsia="zh-CN"/>
        </w:rPr>
        <w:t>2022年21个项目如期完成，达到预期效果。</w:t>
      </w:r>
    </w:p>
    <w:p>
      <w:pPr>
        <w:wordWrap/>
        <w:adjustRightInd w:val="0"/>
        <w:snapToGrid w:val="0"/>
        <w:spacing w:line="579" w:lineRule="exact"/>
        <w:ind w:firstLine="720"/>
        <w:jc w:val="both"/>
        <w:textAlignment w:val="auto"/>
        <w:rPr>
          <w:rFonts w:ascii="黑体" w:hAnsi="宋体" w:eastAsia="黑体"/>
          <w:color w:val="auto"/>
          <w:sz w:val="32"/>
          <w:szCs w:val="32"/>
        </w:rPr>
      </w:pPr>
      <w:r>
        <w:rPr>
          <w:rFonts w:hint="eastAsia" w:ascii="黑体" w:hAnsi="宋体" w:eastAsia="黑体"/>
          <w:color w:val="auto"/>
          <w:sz w:val="32"/>
          <w:szCs w:val="32"/>
        </w:rPr>
        <w:t>五、评价结论及建议</w:t>
      </w:r>
      <w:bookmarkEnd w:id="78"/>
      <w:bookmarkEnd w:id="79"/>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wordWrap/>
        <w:adjustRightInd w:val="0"/>
        <w:snapToGrid w:val="0"/>
        <w:spacing w:line="579" w:lineRule="exact"/>
        <w:ind w:firstLine="720"/>
        <w:jc w:val="both"/>
        <w:textAlignment w:val="auto"/>
        <w:rPr>
          <w:rFonts w:hint="eastAsia" w:ascii="仿宋_GB2312" w:eastAsia="仿宋_GB2312" w:cs="仿宋_GB2312"/>
          <w:i w:val="0"/>
          <w:iCs w:val="0"/>
          <w:caps w:val="0"/>
          <w:color w:val="auto"/>
          <w:spacing w:val="0"/>
          <w:sz w:val="32"/>
          <w:szCs w:val="32"/>
          <w:shd w:val="clear" w:color="090000" w:fill="FFFFFF"/>
          <w:lang w:eastAsia="zh-CN"/>
        </w:rPr>
      </w:pPr>
      <w:r>
        <w:rPr>
          <w:rFonts w:hint="eastAsia" w:ascii="仿宋_GB2312" w:eastAsia="仿宋_GB2312" w:cs="仿宋_GB2312"/>
          <w:i w:val="0"/>
          <w:iCs w:val="0"/>
          <w:caps w:val="0"/>
          <w:color w:val="auto"/>
          <w:spacing w:val="0"/>
          <w:sz w:val="32"/>
          <w:szCs w:val="32"/>
          <w:shd w:val="clear" w:color="090000" w:fill="FFFFFF"/>
        </w:rPr>
        <w:t>项目资金支出</w:t>
      </w:r>
      <w:r>
        <w:rPr>
          <w:rFonts w:hint="eastAsia" w:ascii="仿宋_GB2312" w:eastAsia="仿宋_GB2312" w:cs="仿宋_GB2312"/>
          <w:i w:val="0"/>
          <w:iCs w:val="0"/>
          <w:caps w:val="0"/>
          <w:color w:val="auto"/>
          <w:spacing w:val="0"/>
          <w:sz w:val="32"/>
          <w:szCs w:val="32"/>
          <w:shd w:val="clear" w:color="090000" w:fill="FFFFFF"/>
          <w:lang w:val="en-US" w:eastAsia="zh-CN"/>
        </w:rPr>
        <w:t>155</w:t>
      </w:r>
      <w:r>
        <w:rPr>
          <w:rFonts w:hint="eastAsia" w:ascii="仿宋_GB2312" w:eastAsia="仿宋_GB2312" w:cs="仿宋_GB2312"/>
          <w:i w:val="0"/>
          <w:iCs w:val="0"/>
          <w:caps w:val="0"/>
          <w:color w:val="auto"/>
          <w:spacing w:val="0"/>
          <w:sz w:val="32"/>
          <w:szCs w:val="32"/>
          <w:shd w:val="clear" w:color="090000" w:fill="FFFFFF"/>
        </w:rPr>
        <w:t>万元，完成资金计划100%</w:t>
      </w:r>
      <w:r>
        <w:rPr>
          <w:rFonts w:hint="eastAsia" w:ascii="仿宋_GB2312" w:eastAsia="仿宋_GB2312" w:cs="仿宋_GB2312"/>
          <w:i w:val="0"/>
          <w:iCs w:val="0"/>
          <w:caps w:val="0"/>
          <w:color w:val="auto"/>
          <w:spacing w:val="0"/>
          <w:sz w:val="32"/>
          <w:szCs w:val="32"/>
          <w:shd w:val="clear" w:color="090000" w:fill="FFFFFF"/>
          <w:lang w:eastAsia="zh-CN"/>
        </w:rPr>
        <w:t>。在</w:t>
      </w:r>
      <w:r>
        <w:rPr>
          <w:rFonts w:hint="eastAsia" w:ascii="仿宋_GB2312" w:eastAsia="仿宋_GB2312" w:cs="仿宋_GB2312"/>
          <w:i w:val="0"/>
          <w:iCs w:val="0"/>
          <w:caps w:val="0"/>
          <w:color w:val="auto"/>
          <w:spacing w:val="0"/>
          <w:sz w:val="32"/>
          <w:szCs w:val="32"/>
          <w:shd w:val="clear" w:color="090000" w:fill="FFFFFF"/>
          <w:lang w:val="en-US" w:eastAsia="zh-CN"/>
        </w:rPr>
        <w:t>2022年</w:t>
      </w:r>
      <w:r>
        <w:rPr>
          <w:rFonts w:hint="eastAsia" w:ascii="仿宋_GB2312" w:eastAsia="仿宋_GB2312" w:cs="仿宋_GB2312"/>
          <w:i w:val="0"/>
          <w:iCs w:val="0"/>
          <w:caps w:val="0"/>
          <w:color w:val="auto"/>
          <w:spacing w:val="0"/>
          <w:sz w:val="32"/>
          <w:szCs w:val="32"/>
          <w:shd w:val="clear" w:color="090000" w:fill="FFFFFF"/>
          <w:lang w:eastAsia="zh-CN"/>
        </w:rPr>
        <w:t>，保障了</w:t>
      </w:r>
      <w:r>
        <w:rPr>
          <w:rFonts w:hint="eastAsia" w:ascii="仿宋_GB2312" w:hAnsi="宋体" w:eastAsia="仿宋_GB2312"/>
          <w:color w:val="auto"/>
          <w:sz w:val="32"/>
          <w:szCs w:val="32"/>
          <w:lang w:val="zh-CN"/>
        </w:rPr>
        <w:t>审计工作的正常开展</w:t>
      </w:r>
      <w:r>
        <w:rPr>
          <w:rFonts w:hint="eastAsia" w:ascii="仿宋_GB2312" w:eastAsia="仿宋_GB2312" w:cs="仿宋_GB2312"/>
          <w:i w:val="0"/>
          <w:iCs w:val="0"/>
          <w:caps w:val="0"/>
          <w:color w:val="auto"/>
          <w:spacing w:val="0"/>
          <w:sz w:val="32"/>
          <w:szCs w:val="32"/>
          <w:shd w:val="clear" w:color="090000" w:fill="FFFFFF"/>
          <w:lang w:eastAsia="zh-CN"/>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wordWrap/>
        <w:adjustRightInd w:val="0"/>
        <w:snapToGrid w:val="0"/>
        <w:spacing w:line="579" w:lineRule="exact"/>
        <w:ind w:firstLine="640" w:firstLineChars="200"/>
        <w:jc w:val="both"/>
        <w:textAlignment w:val="auto"/>
        <w:rPr>
          <w:rFonts w:ascii="仿宋_GB2312" w:hAnsi="宋体" w:eastAsia="仿宋_GB2312"/>
          <w:color w:val="auto"/>
          <w:sz w:val="32"/>
          <w:szCs w:val="32"/>
          <w:lang w:val="zh-CN"/>
        </w:rPr>
      </w:pPr>
      <w:r>
        <w:rPr>
          <w:rFonts w:hint="eastAsia" w:ascii="仿宋_GB2312" w:hAnsi="宋体" w:eastAsia="仿宋_GB2312" w:cs="宋体"/>
          <w:color w:val="auto"/>
          <w:sz w:val="32"/>
          <w:szCs w:val="32"/>
          <w:lang w:eastAsia="zh-CN"/>
        </w:rPr>
        <w:t>职工</w:t>
      </w:r>
      <w:r>
        <w:rPr>
          <w:rFonts w:hint="eastAsia" w:ascii="仿宋_GB2312" w:hAnsi="宋体" w:eastAsia="仿宋_GB2312" w:cs="宋体"/>
          <w:color w:val="auto"/>
          <w:sz w:val="32"/>
          <w:szCs w:val="32"/>
        </w:rPr>
        <w:t>网络安全</w:t>
      </w:r>
      <w:r>
        <w:rPr>
          <w:rFonts w:hint="eastAsia" w:ascii="仿宋_GB2312" w:eastAsia="仿宋_GB2312" w:cs="仿宋_GB2312"/>
          <w:i w:val="0"/>
          <w:iCs w:val="0"/>
          <w:caps w:val="0"/>
          <w:color w:val="auto"/>
          <w:spacing w:val="0"/>
          <w:sz w:val="32"/>
          <w:szCs w:val="32"/>
          <w:shd w:val="clear" w:color="090000" w:fill="FFFFFF"/>
          <w:lang w:eastAsia="zh-CN"/>
        </w:rPr>
        <w:t>意识</w:t>
      </w:r>
      <w:r>
        <w:rPr>
          <w:rFonts w:hint="eastAsia" w:ascii="仿宋_GB2312" w:hAnsi="宋体" w:eastAsia="仿宋_GB2312" w:cs="宋体"/>
          <w:color w:val="auto"/>
          <w:sz w:val="32"/>
          <w:szCs w:val="32"/>
        </w:rPr>
        <w:t>不够</w:t>
      </w:r>
      <w:r>
        <w:rPr>
          <w:rFonts w:hint="eastAsia" w:ascii="仿宋_GB2312" w:hAnsi="宋体" w:eastAsia="仿宋_GB2312" w:cs="宋体"/>
          <w:color w:val="auto"/>
          <w:sz w:val="32"/>
          <w:szCs w:val="32"/>
          <w:lang w:eastAsia="zh-CN"/>
        </w:rPr>
        <w:t>，计算机知识欠缺</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审计涉及的领域广，对大数据审计、各行业专业审计人员的专业技能要求更高，审计人员的专业技能有待提高，效率有待加强</w:t>
      </w:r>
      <w:r>
        <w:rPr>
          <w:rFonts w:hint="eastAsia" w:ascii="仿宋_GB2312" w:hAnsi="宋体" w:eastAsia="仿宋_GB2312" w:cs="宋体"/>
          <w:color w:val="auto"/>
          <w:sz w:val="32"/>
          <w:szCs w:val="32"/>
        </w:rPr>
        <w:t>。</w:t>
      </w:r>
    </w:p>
    <w:p>
      <w:pPr>
        <w:wordWrap/>
        <w:adjustRightInd w:val="0"/>
        <w:snapToGrid w:val="0"/>
        <w:spacing w:line="579" w:lineRule="exact"/>
        <w:ind w:firstLine="720"/>
        <w:jc w:val="both"/>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wordWrap/>
        <w:spacing w:line="579" w:lineRule="exact"/>
        <w:ind w:firstLine="640"/>
        <w:jc w:val="both"/>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加强网络安全</w:t>
      </w:r>
      <w:r>
        <w:rPr>
          <w:rFonts w:hint="eastAsia" w:ascii="仿宋_GB2312" w:hAnsi="宋体" w:eastAsia="仿宋_GB2312" w:cs="宋体"/>
          <w:color w:val="auto"/>
          <w:sz w:val="32"/>
          <w:szCs w:val="32"/>
          <w:lang w:eastAsia="zh-CN"/>
        </w:rPr>
        <w:t>和计算机知识学习</w:t>
      </w:r>
      <w:r>
        <w:rPr>
          <w:rFonts w:hint="eastAsia" w:ascii="仿宋_GB2312" w:hAnsi="宋体" w:eastAsia="仿宋_GB2312" w:cs="宋体"/>
          <w:color w:val="auto"/>
          <w:sz w:val="32"/>
          <w:szCs w:val="32"/>
        </w:rPr>
        <w:t>，</w:t>
      </w:r>
      <w:r>
        <w:rPr>
          <w:rFonts w:hint="eastAsia" w:ascii="仿宋_GB2312" w:eastAsia="仿宋_GB2312" w:cs="仿宋_GB2312"/>
          <w:i w:val="0"/>
          <w:iCs w:val="0"/>
          <w:caps w:val="0"/>
          <w:color w:val="auto"/>
          <w:spacing w:val="0"/>
          <w:sz w:val="32"/>
          <w:szCs w:val="32"/>
          <w:shd w:val="clear" w:color="090000" w:fill="FFFFFF"/>
          <w:lang w:eastAsia="zh-CN"/>
        </w:rPr>
        <w:t>增强</w:t>
      </w:r>
      <w:r>
        <w:rPr>
          <w:rFonts w:hint="eastAsia" w:ascii="仿宋_GB2312" w:hAnsi="宋体" w:eastAsia="仿宋_GB2312" w:cs="宋体"/>
          <w:color w:val="auto"/>
          <w:sz w:val="32"/>
          <w:szCs w:val="32"/>
        </w:rPr>
        <w:t>职工网络安全意识。加强相关人员专业技能培训，提高工作效率。</w:t>
      </w:r>
    </w:p>
    <w:p>
      <w:pPr>
        <w:wordWrap/>
        <w:adjustRightInd w:val="0"/>
        <w:snapToGrid w:val="0"/>
        <w:spacing w:line="579" w:lineRule="exact"/>
        <w:ind w:firstLine="720"/>
        <w:jc w:val="both"/>
        <w:textAlignment w:val="auto"/>
        <w:rPr>
          <w:rFonts w:hint="eastAsia" w:ascii="仿宋_GB2312" w:hAnsi="宋体" w:eastAsia="仿宋_GB2312" w:cs="宋体"/>
          <w:color w:val="auto"/>
          <w:sz w:val="32"/>
          <w:szCs w:val="32"/>
        </w:rPr>
      </w:pPr>
    </w:p>
    <w:p>
      <w:pPr>
        <w:pStyle w:val="5"/>
        <w:wordWrap/>
        <w:jc w:val="both"/>
        <w:rPr>
          <w:rFonts w:hint="eastAsia" w:ascii="仿宋_GB2312" w:hAnsi="宋体" w:eastAsia="仿宋_GB2312" w:cs="宋体"/>
          <w:color w:val="auto"/>
          <w:sz w:val="32"/>
          <w:szCs w:val="32"/>
        </w:rPr>
      </w:pPr>
    </w:p>
    <w:p>
      <w:pPr>
        <w:wordWrap/>
        <w:jc w:val="both"/>
        <w:rPr>
          <w:rFonts w:hint="eastAsia" w:ascii="仿宋_GB2312" w:hAnsi="宋体" w:eastAsia="仿宋_GB2312" w:cs="宋体"/>
          <w:color w:val="auto"/>
          <w:sz w:val="32"/>
          <w:szCs w:val="32"/>
        </w:rPr>
      </w:pPr>
    </w:p>
    <w:p>
      <w:pPr>
        <w:pStyle w:val="5"/>
        <w:wordWrap/>
        <w:jc w:val="both"/>
        <w:rPr>
          <w:rFonts w:hint="eastAsia" w:ascii="仿宋_GB2312" w:hAnsi="宋体" w:eastAsia="仿宋_GB2312" w:cs="宋体"/>
          <w:color w:val="auto"/>
          <w:sz w:val="32"/>
          <w:szCs w:val="32"/>
        </w:rPr>
      </w:pPr>
    </w:p>
    <w:p>
      <w:pPr>
        <w:wordWrap/>
        <w:jc w:val="both"/>
        <w:rPr>
          <w:rFonts w:hint="eastAsia" w:ascii="仿宋_GB2312" w:hAnsi="宋体" w:eastAsia="仿宋_GB2312" w:cs="宋体"/>
          <w:color w:val="auto"/>
          <w:sz w:val="32"/>
          <w:szCs w:val="32"/>
        </w:rPr>
      </w:pPr>
    </w:p>
    <w:p>
      <w:pPr>
        <w:pStyle w:val="5"/>
        <w:wordWrap/>
        <w:jc w:val="both"/>
        <w:rPr>
          <w:rFonts w:hint="eastAsia" w:ascii="仿宋_GB2312" w:hAnsi="宋体" w:eastAsia="仿宋_GB2312" w:cs="宋体"/>
          <w:color w:val="auto"/>
          <w:sz w:val="32"/>
          <w:szCs w:val="32"/>
        </w:rPr>
      </w:pPr>
    </w:p>
    <w:p>
      <w:pPr>
        <w:wordWrap/>
        <w:jc w:val="both"/>
        <w:rPr>
          <w:rFonts w:hint="eastAsia" w:ascii="仿宋_GB2312" w:hAnsi="宋体" w:eastAsia="仿宋_GB2312" w:cs="宋体"/>
          <w:color w:val="auto"/>
          <w:sz w:val="32"/>
          <w:szCs w:val="32"/>
        </w:rPr>
      </w:pPr>
    </w:p>
    <w:p>
      <w:pPr>
        <w:pStyle w:val="5"/>
        <w:wordWrap/>
        <w:jc w:val="both"/>
        <w:rPr>
          <w:rFonts w:hint="eastAsia" w:ascii="仿宋_GB2312" w:hAnsi="宋体" w:eastAsia="仿宋_GB2312" w:cs="宋体"/>
          <w:color w:val="auto"/>
          <w:sz w:val="32"/>
          <w:szCs w:val="32"/>
        </w:rPr>
      </w:pPr>
    </w:p>
    <w:p>
      <w:pPr>
        <w:wordWrap/>
        <w:jc w:val="both"/>
        <w:rPr>
          <w:rFonts w:hint="eastAsia"/>
        </w:rPr>
      </w:pPr>
    </w:p>
    <w:p>
      <w:pPr>
        <w:pStyle w:val="5"/>
        <w:wordWrap/>
        <w:jc w:val="both"/>
        <w:rPr>
          <w:rFonts w:hint="eastAsia" w:ascii="仿宋_GB2312" w:hAnsi="宋体" w:eastAsia="仿宋_GB2312" w:cs="宋体"/>
          <w:color w:val="auto"/>
          <w:sz w:val="32"/>
          <w:szCs w:val="32"/>
        </w:rPr>
      </w:pPr>
    </w:p>
    <w:tbl>
      <w:tblPr>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581"/>
        <w:gridCol w:w="1032"/>
        <w:gridCol w:w="1493"/>
        <w:gridCol w:w="194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426" w:type="dxa"/>
            <w:gridSpan w:val="6"/>
            <w:tcBorders>
              <w:top w:val="nil"/>
              <w:left w:val="nil"/>
              <w:bottom w:val="nil"/>
              <w:right w:val="nil"/>
            </w:tcBorders>
            <w:vAlign w:val="center"/>
          </w:tcPr>
          <w:p>
            <w:pPr>
              <w:widowControl/>
              <w:wordWrap/>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426" w:type="dxa"/>
            <w:gridSpan w:val="6"/>
            <w:tcBorders>
              <w:top w:val="nil"/>
              <w:left w:val="nil"/>
              <w:bottom w:val="single" w:color="000000" w:sz="4" w:space="0"/>
              <w:right w:val="nil"/>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trPr>
        <w:tc>
          <w:tcPr>
            <w:tcW w:w="367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项目名称</w:t>
            </w:r>
          </w:p>
        </w:tc>
        <w:tc>
          <w:tcPr>
            <w:tcW w:w="474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r>
              <w:rPr>
                <w:rFonts w:hint="eastAsia" w:ascii="宋体" w:hAnsi="宋体" w:cs="宋体"/>
                <w:i w:val="0"/>
                <w:iCs w:val="0"/>
                <w:color w:val="000000"/>
                <w:kern w:val="0"/>
                <w:sz w:val="21"/>
                <w:szCs w:val="21"/>
                <w:u w:val="none"/>
                <w:lang w:val="en-US" w:eastAsia="zh-CN"/>
              </w:rPr>
              <w:t>其他运转支出</w:t>
            </w:r>
            <w:r>
              <w:rPr>
                <w:rFonts w:hint="eastAsia" w:ascii="宋体" w:hAnsi="宋体" w:eastAsia="宋体" w:cs="宋体"/>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367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预算单位</w:t>
            </w:r>
          </w:p>
        </w:tc>
        <w:tc>
          <w:tcPr>
            <w:tcW w:w="474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泸县审计局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66" w:type="dxa"/>
            <w:tcBorders>
              <w:top w:val="nil"/>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预算执行情况(万元)</w:t>
            </w: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预算数:</w:t>
            </w:r>
          </w:p>
        </w:tc>
        <w:tc>
          <w:tcPr>
            <w:tcW w:w="1493"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c>
          <w:tcPr>
            <w:tcW w:w="194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执行数:</w:t>
            </w:r>
          </w:p>
        </w:tc>
        <w:tc>
          <w:tcPr>
            <w:tcW w:w="130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66"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1493"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c>
          <w:tcPr>
            <w:tcW w:w="194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其中-财政拨款:</w:t>
            </w:r>
          </w:p>
        </w:tc>
        <w:tc>
          <w:tcPr>
            <w:tcW w:w="1307"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66" w:type="dxa"/>
            <w:tcBorders>
              <w:top w:val="nil"/>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1493"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94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其它资金:</w:t>
            </w:r>
          </w:p>
        </w:tc>
        <w:tc>
          <w:tcPr>
            <w:tcW w:w="1307" w:type="dxa"/>
            <w:tcBorders>
              <w:top w:val="nil"/>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66" w:type="dxa"/>
            <w:vMerge w:val="restart"/>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年度目标完成情况</w:t>
            </w:r>
          </w:p>
        </w:tc>
        <w:tc>
          <w:tcPr>
            <w:tcW w:w="4106"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预期目标</w:t>
            </w:r>
          </w:p>
        </w:tc>
        <w:tc>
          <w:tcPr>
            <w:tcW w:w="325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trPr>
        <w:tc>
          <w:tcPr>
            <w:tcW w:w="1066" w:type="dxa"/>
            <w:vMerge w:val="continue"/>
            <w:tcBorders>
              <w:top w:val="single" w:color="000000" w:sz="4" w:space="0"/>
              <w:left w:val="single" w:color="000000" w:sz="4" w:space="0"/>
              <w:bottom w:val="nil"/>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4106" w:type="dxa"/>
            <w:gridSpan w:val="3"/>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计划内政府投资项目审计额≥</w:t>
            </w:r>
            <w:r>
              <w:rPr>
                <w:rFonts w:hint="eastAsia" w:ascii="宋体" w:hAnsi="宋体" w:cs="宋体"/>
                <w:i w:val="0"/>
                <w:iCs w:val="0"/>
                <w:color w:val="000000"/>
                <w:kern w:val="0"/>
                <w:sz w:val="21"/>
                <w:szCs w:val="21"/>
                <w:u w:val="none"/>
                <w:lang w:val="en-US" w:eastAsia="zh-CN"/>
              </w:rPr>
              <w:t>5000万元，完成时间2022年，支出成本</w:t>
            </w:r>
            <w:r>
              <w:rPr>
                <w:rFonts w:hint="eastAsia" w:ascii="宋体" w:hAnsi="宋体" w:eastAsia="宋体" w:cs="宋体"/>
                <w:i w:val="0"/>
                <w:iCs w:val="0"/>
                <w:color w:val="000000"/>
                <w:kern w:val="0"/>
                <w:sz w:val="21"/>
                <w:szCs w:val="21"/>
                <w:u w:val="none"/>
                <w:lang w:val="en-US" w:eastAsia="zh-CN"/>
              </w:rPr>
              <w:t>≤</w:t>
            </w:r>
            <w:r>
              <w:rPr>
                <w:rFonts w:hint="eastAsia" w:ascii="宋体" w:hAnsi="宋体" w:cs="宋体"/>
                <w:i w:val="0"/>
                <w:iCs w:val="0"/>
                <w:color w:val="000000"/>
                <w:kern w:val="0"/>
                <w:sz w:val="21"/>
                <w:szCs w:val="21"/>
                <w:u w:val="none"/>
                <w:lang w:val="en-US" w:eastAsia="zh-CN"/>
              </w:rPr>
              <w:t>155万元</w:t>
            </w:r>
          </w:p>
        </w:tc>
        <w:tc>
          <w:tcPr>
            <w:tcW w:w="3254" w:type="dxa"/>
            <w:gridSpan w:val="2"/>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年完成</w:t>
            </w:r>
            <w:r>
              <w:rPr>
                <w:rFonts w:hint="eastAsia" w:ascii="宋体" w:hAnsi="宋体" w:cs="宋体"/>
                <w:i w:val="0"/>
                <w:iCs w:val="0"/>
                <w:color w:val="000000"/>
                <w:kern w:val="0"/>
                <w:sz w:val="21"/>
                <w:szCs w:val="21"/>
                <w:u w:val="none"/>
                <w:lang w:val="en-US" w:eastAsia="zh-CN"/>
              </w:rPr>
              <w:t>21</w:t>
            </w:r>
            <w:r>
              <w:rPr>
                <w:rFonts w:hint="eastAsia" w:ascii="宋体" w:hAnsi="宋体" w:eastAsia="宋体" w:cs="宋体"/>
                <w:i w:val="0"/>
                <w:iCs w:val="0"/>
                <w:color w:val="000000"/>
                <w:kern w:val="0"/>
                <w:sz w:val="21"/>
                <w:szCs w:val="21"/>
                <w:u w:val="none"/>
                <w:lang w:val="en-US" w:eastAsia="zh-CN"/>
              </w:rPr>
              <w:t>个项目审计。项目资金支出为</w:t>
            </w: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绩效指标完成情况</w:t>
            </w:r>
          </w:p>
        </w:tc>
        <w:tc>
          <w:tcPr>
            <w:tcW w:w="1581" w:type="dxa"/>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一级指标</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二级指标</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三级指标</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预期指标值(包含数字及文字描述)</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restart"/>
            <w:tcBorders>
              <w:top w:val="single" w:color="000000" w:sz="4" w:space="0"/>
              <w:left w:val="nil"/>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项目完成指标</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计划内政府投资项目审计额</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r>
              <w:rPr>
                <w:rFonts w:hint="eastAsia" w:ascii="宋体" w:hAnsi="宋体" w:cs="宋体"/>
                <w:i w:val="0"/>
                <w:iCs w:val="0"/>
                <w:color w:val="000000"/>
                <w:kern w:val="0"/>
                <w:sz w:val="21"/>
                <w:szCs w:val="21"/>
                <w:u w:val="none"/>
                <w:lang w:val="en-US" w:eastAsia="zh-CN"/>
              </w:rPr>
              <w:t>5000万元</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continue"/>
            <w:tcBorders>
              <w:top w:val="single" w:color="000000" w:sz="4" w:space="0"/>
              <w:left w:val="nil"/>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032"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493"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其他运转支出</w:t>
            </w:r>
          </w:p>
        </w:tc>
        <w:tc>
          <w:tcPr>
            <w:tcW w:w="194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c>
          <w:tcPr>
            <w:tcW w:w="130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155</w:t>
            </w:r>
            <w:r>
              <w:rPr>
                <w:rFonts w:hint="eastAsia" w:ascii="宋体" w:hAnsi="宋体" w:eastAsia="宋体" w:cs="宋体"/>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continue"/>
            <w:tcBorders>
              <w:top w:val="single" w:color="000000" w:sz="4" w:space="0"/>
              <w:left w:val="nil"/>
              <w:bottom w:val="single" w:color="000000" w:sz="4" w:space="0"/>
              <w:right w:val="single" w:color="000000" w:sz="4" w:space="0"/>
            </w:tcBorders>
            <w:vAlign w:val="center"/>
          </w:tcPr>
          <w:p>
            <w:pPr>
              <w:wordWrap/>
              <w:spacing w:line="240" w:lineRule="auto"/>
              <w:jc w:val="center"/>
              <w:rPr>
                <w:rFonts w:hint="eastAsia" w:ascii="宋体" w:hAnsi="宋体" w:eastAsia="宋体" w:cs="宋体"/>
                <w:i w:val="0"/>
                <w:iCs w:val="0"/>
                <w:color w:val="000000"/>
                <w:sz w:val="21"/>
                <w:szCs w:val="21"/>
                <w:u w:val="none"/>
              </w:rPr>
            </w:pPr>
          </w:p>
        </w:tc>
        <w:tc>
          <w:tcPr>
            <w:tcW w:w="1032"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493"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完成时间</w:t>
            </w:r>
          </w:p>
        </w:tc>
        <w:tc>
          <w:tcPr>
            <w:tcW w:w="194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w:t>
            </w:r>
          </w:p>
        </w:tc>
        <w:tc>
          <w:tcPr>
            <w:tcW w:w="1307" w:type="dxa"/>
            <w:tcBorders>
              <w:top w:val="single" w:color="000000" w:sz="4" w:space="0"/>
              <w:left w:val="single" w:color="000000" w:sz="4" w:space="0"/>
              <w:bottom w:val="nil"/>
              <w:right w:val="single" w:color="000000" w:sz="4" w:space="0"/>
            </w:tcBorders>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w:t>
            </w: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center"/>
              <w:rPr>
                <w:rFonts w:hint="eastAsia" w:ascii="宋体" w:hAnsi="宋体" w:eastAsia="宋体" w:cs="宋体"/>
                <w:i w:val="0"/>
                <w:iCs w:val="0"/>
                <w:color w:val="000000"/>
                <w:sz w:val="21"/>
                <w:szCs w:val="21"/>
                <w:u w:val="none"/>
              </w:rPr>
            </w:pPr>
          </w:p>
        </w:tc>
        <w:tc>
          <w:tcPr>
            <w:tcW w:w="158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被审计单位满意度</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满意度达100%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both"/>
              <w:rPr>
                <w:rFonts w:hint="eastAsia" w:ascii="宋体" w:hAnsi="宋体" w:eastAsia="宋体" w:cs="宋体"/>
                <w:i w:val="0"/>
                <w:iCs w:val="0"/>
                <w:color w:val="000000"/>
                <w:sz w:val="24"/>
                <w:szCs w:val="24"/>
                <w:u w:val="none"/>
              </w:rPr>
            </w:pP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pPr>
              <w:wordWrap/>
              <w:spacing w:line="240" w:lineRule="auto"/>
              <w:jc w:val="both"/>
              <w:rPr>
                <w:rFonts w:hint="eastAsia" w:ascii="宋体" w:hAnsi="宋体" w:eastAsia="宋体" w:cs="宋体"/>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jc w:val="both"/>
              <w:rPr>
                <w:rFonts w:hint="eastAsia" w:ascii="宋体" w:hAnsi="宋体" w:eastAsia="宋体" w:cs="宋体"/>
                <w:i w:val="0"/>
                <w:iCs w:val="0"/>
                <w:color w:val="000000"/>
                <w:sz w:val="24"/>
                <w:szCs w:val="24"/>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ordWrap/>
              <w:spacing w:line="240" w:lineRule="auto"/>
              <w:jc w:val="both"/>
              <w:rPr>
                <w:rFonts w:hint="eastAsia" w:ascii="宋体" w:hAnsi="宋体" w:eastAsia="宋体" w:cs="宋体"/>
                <w:i w:val="0"/>
                <w:iCs w:val="0"/>
                <w:color w:val="000000"/>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ordWrap/>
              <w:spacing w:line="240" w:lineRule="auto"/>
              <w:jc w:val="both"/>
              <w:rPr>
                <w:rFonts w:hint="eastAsia" w:ascii="宋体" w:hAnsi="宋体" w:eastAsia="宋体" w:cs="宋体"/>
                <w:i w:val="0"/>
                <w:iCs w:val="0"/>
                <w:color w:val="000000"/>
                <w:sz w:val="24"/>
                <w:szCs w:val="24"/>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ordWrap/>
              <w:spacing w:line="240" w:lineRule="auto"/>
              <w:jc w:val="both"/>
              <w:rPr>
                <w:rFonts w:hint="eastAsia" w:ascii="宋体" w:hAnsi="宋体" w:eastAsia="宋体" w:cs="宋体"/>
                <w:i w:val="0"/>
                <w:iCs w:val="0"/>
                <w:color w:val="000000"/>
                <w:sz w:val="24"/>
                <w:szCs w:val="24"/>
                <w:u w:val="none"/>
              </w:rPr>
            </w:pPr>
          </w:p>
        </w:tc>
      </w:tr>
    </w:tbl>
    <w:p>
      <w:pPr>
        <w:wordWrap/>
        <w:jc w:val="both"/>
        <w:rPr>
          <w:rFonts w:hint="eastAsia" w:ascii="仿宋_GB2312" w:hAnsi="宋体" w:eastAsia="仿宋_GB2312" w:cs="宋体"/>
          <w:color w:val="auto"/>
          <w:sz w:val="32"/>
          <w:szCs w:val="32"/>
        </w:rPr>
      </w:pPr>
    </w:p>
    <w:p>
      <w:pPr>
        <w:pStyle w:val="5"/>
        <w:wordWrap/>
        <w:jc w:val="both"/>
        <w:rPr>
          <w:rFonts w:hint="eastAsia" w:ascii="仿宋_GB2312" w:hAnsi="宋体" w:eastAsia="仿宋_GB2312" w:cs="宋体"/>
          <w:color w:val="auto"/>
          <w:sz w:val="32"/>
          <w:szCs w:val="32"/>
        </w:rPr>
      </w:pPr>
    </w:p>
    <w:p>
      <w:pPr>
        <w:wordWrap/>
        <w:spacing w:line="600" w:lineRule="exact"/>
        <w:jc w:val="center"/>
        <w:outlineLvl w:val="0"/>
        <w:rPr>
          <w:rFonts w:hint="eastAsia" w:ascii="仿宋" w:hAnsi="仿宋" w:eastAsia="仿宋"/>
          <w:b w:val="0"/>
          <w:color w:val="auto"/>
          <w:highlight w:val="none"/>
        </w:rPr>
      </w:pPr>
      <w:bookmarkStart w:id="80" w:name="_Toc15396618"/>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51"/>
      <w:bookmarkEnd w:id="80"/>
      <w:bookmarkStart w:id="81" w:name="_Toc15396619"/>
    </w:p>
    <w:p>
      <w:pPr>
        <w:pStyle w:val="3"/>
        <w:wordWrap/>
        <w:jc w:val="both"/>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81"/>
    </w:p>
    <w:p>
      <w:pPr>
        <w:pStyle w:val="3"/>
        <w:wordWrap/>
        <w:jc w:val="both"/>
        <w:rPr>
          <w:rFonts w:ascii="仿宋" w:hAnsi="仿宋" w:eastAsia="仿宋"/>
          <w:color w:val="auto"/>
          <w:highlight w:val="none"/>
        </w:rPr>
      </w:pPr>
      <w:bookmarkStart w:id="82"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82"/>
    </w:p>
    <w:p>
      <w:pPr>
        <w:pStyle w:val="3"/>
        <w:wordWrap/>
        <w:jc w:val="both"/>
        <w:rPr>
          <w:rFonts w:ascii="仿宋" w:hAnsi="仿宋" w:eastAsia="仿宋"/>
          <w:color w:val="auto"/>
          <w:highlight w:val="none"/>
        </w:rPr>
      </w:pPr>
      <w:bookmarkStart w:id="83"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83"/>
    </w:p>
    <w:p>
      <w:pPr>
        <w:pStyle w:val="3"/>
        <w:wordWrap/>
        <w:jc w:val="both"/>
        <w:rPr>
          <w:rFonts w:ascii="仿宋" w:hAnsi="仿宋" w:eastAsia="仿宋"/>
          <w:b w:val="0"/>
          <w:color w:val="auto"/>
          <w:highlight w:val="none"/>
        </w:rPr>
      </w:pPr>
      <w:bookmarkStart w:id="84"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84"/>
    </w:p>
    <w:p>
      <w:pPr>
        <w:pStyle w:val="3"/>
        <w:wordWrap/>
        <w:jc w:val="both"/>
        <w:rPr>
          <w:rStyle w:val="32"/>
          <w:rFonts w:ascii="仿宋" w:hAnsi="仿宋" w:eastAsia="仿宋"/>
          <w:b w:val="0"/>
          <w:bCs w:val="0"/>
          <w:color w:val="auto"/>
          <w:highlight w:val="none"/>
        </w:rPr>
      </w:pPr>
      <w:bookmarkStart w:id="85"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85"/>
      <w:bookmarkStart w:id="86" w:name="_Toc15396624"/>
    </w:p>
    <w:p>
      <w:pPr>
        <w:pStyle w:val="3"/>
        <w:wordWrap/>
        <w:jc w:val="both"/>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86"/>
    </w:p>
    <w:p>
      <w:pPr>
        <w:pStyle w:val="3"/>
        <w:wordWrap/>
        <w:jc w:val="both"/>
        <w:rPr>
          <w:rFonts w:ascii="仿宋" w:hAnsi="仿宋" w:eastAsia="仿宋"/>
          <w:color w:val="auto"/>
          <w:highlight w:val="none"/>
        </w:rPr>
      </w:pPr>
      <w:bookmarkStart w:id="87"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87"/>
    </w:p>
    <w:p>
      <w:pPr>
        <w:pStyle w:val="3"/>
        <w:wordWrap/>
        <w:jc w:val="both"/>
        <w:rPr>
          <w:rFonts w:ascii="仿宋" w:hAnsi="仿宋" w:eastAsia="仿宋"/>
          <w:color w:val="auto"/>
          <w:highlight w:val="none"/>
        </w:rPr>
      </w:pPr>
      <w:bookmarkStart w:id="88"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88"/>
    </w:p>
    <w:p>
      <w:pPr>
        <w:pStyle w:val="3"/>
        <w:wordWrap/>
        <w:jc w:val="both"/>
        <w:rPr>
          <w:rFonts w:ascii="仿宋" w:hAnsi="仿宋" w:eastAsia="仿宋"/>
          <w:color w:val="auto"/>
          <w:highlight w:val="none"/>
        </w:rPr>
      </w:pPr>
      <w:bookmarkStart w:id="89"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89"/>
    </w:p>
    <w:p>
      <w:pPr>
        <w:pStyle w:val="3"/>
        <w:wordWrap/>
        <w:jc w:val="both"/>
        <w:rPr>
          <w:rFonts w:ascii="仿宋" w:hAnsi="仿宋" w:eastAsia="仿宋"/>
          <w:color w:val="auto"/>
          <w:highlight w:val="none"/>
        </w:rPr>
      </w:pPr>
      <w:bookmarkStart w:id="90" w:name="_Toc15396628"/>
      <w:r>
        <w:rPr>
          <w:rStyle w:val="32"/>
          <w:rFonts w:hint="eastAsia" w:ascii="仿宋" w:hAnsi="仿宋" w:eastAsia="仿宋"/>
          <w:b w:val="0"/>
          <w:bCs w:val="0"/>
          <w:color w:val="auto"/>
          <w:highlight w:val="none"/>
        </w:rPr>
        <w:t>十、</w:t>
      </w:r>
      <w:bookmarkEnd w:id="90"/>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p>
    <w:p>
      <w:pPr>
        <w:pStyle w:val="3"/>
        <w:wordWrap/>
        <w:jc w:val="both"/>
        <w:rPr>
          <w:rFonts w:ascii="仿宋" w:hAnsi="仿宋" w:eastAsia="仿宋"/>
          <w:color w:val="auto"/>
          <w:highlight w:val="none"/>
        </w:rPr>
      </w:pPr>
      <w:bookmarkStart w:id="91" w:name="_Toc15396629"/>
      <w:r>
        <w:rPr>
          <w:rStyle w:val="32"/>
          <w:rFonts w:hint="eastAsia" w:ascii="仿宋" w:hAnsi="仿宋" w:eastAsia="仿宋"/>
          <w:b w:val="0"/>
          <w:bCs w:val="0"/>
          <w:color w:val="auto"/>
          <w:highlight w:val="none"/>
        </w:rPr>
        <w:t>十一、</w:t>
      </w:r>
      <w:bookmarkEnd w:id="91"/>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p>
    <w:p>
      <w:pPr>
        <w:pStyle w:val="3"/>
        <w:wordWrap/>
        <w:jc w:val="both"/>
        <w:rPr>
          <w:rFonts w:ascii="仿宋" w:hAnsi="仿宋" w:eastAsia="仿宋"/>
          <w:color w:val="auto"/>
          <w:highlight w:val="none"/>
        </w:rPr>
      </w:pPr>
      <w:bookmarkStart w:id="92" w:name="_Toc15396630"/>
      <w:r>
        <w:rPr>
          <w:rStyle w:val="32"/>
          <w:rFonts w:hint="eastAsia" w:ascii="仿宋" w:hAnsi="仿宋" w:eastAsia="仿宋"/>
          <w:b w:val="0"/>
          <w:bCs w:val="0"/>
          <w:color w:val="auto"/>
          <w:highlight w:val="none"/>
        </w:rPr>
        <w:t>十二、</w:t>
      </w:r>
      <w:bookmarkEnd w:id="92"/>
      <w:r>
        <w:rPr>
          <w:rStyle w:val="32"/>
          <w:rFonts w:hint="eastAsia" w:ascii="仿宋" w:hAnsi="仿宋" w:eastAsia="仿宋"/>
          <w:b w:val="0"/>
          <w:bCs w:val="0"/>
          <w:color w:val="auto"/>
          <w:highlight w:val="none"/>
          <w:lang w:eastAsia="zh-CN"/>
        </w:rPr>
        <w:t>国有资本经营预算财政拨款支出决算表</w:t>
      </w:r>
    </w:p>
    <w:p>
      <w:pPr>
        <w:pStyle w:val="3"/>
        <w:wordWrap/>
        <w:jc w:val="both"/>
        <w:rPr>
          <w:rFonts w:hint="eastAsia" w:eastAsia="仿宋"/>
          <w:color w:val="auto"/>
          <w:highlight w:val="none"/>
          <w:lang w:eastAsia="zh-CN"/>
        </w:rPr>
      </w:pPr>
      <w:bookmarkStart w:id="93" w:name="_Toc15396631"/>
      <w:r>
        <w:rPr>
          <w:rStyle w:val="32"/>
          <w:rFonts w:hint="eastAsia" w:ascii="仿宋" w:hAnsi="仿宋" w:eastAsia="仿宋"/>
          <w:b w:val="0"/>
          <w:bCs w:val="0"/>
          <w:color w:val="auto"/>
          <w:highlight w:val="none"/>
        </w:rPr>
        <w:t>十三、</w:t>
      </w:r>
      <w:bookmarkEnd w:id="93"/>
      <w:r>
        <w:rPr>
          <w:rStyle w:val="32"/>
          <w:rFonts w:hint="eastAsia" w:ascii="仿宋" w:hAnsi="仿宋" w:eastAsia="仿宋"/>
          <w:b w:val="0"/>
          <w:bCs w:val="0"/>
          <w:color w:val="auto"/>
          <w:highlight w:val="none"/>
          <w:lang w:eastAsia="zh-CN"/>
        </w:rPr>
        <w:t>财政拨款“三公”经费支出决算表</w:t>
      </w:r>
    </w:p>
    <w:sectPr>
      <w:headerReference r:id="rId4"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fldChar w:fldCharType="begin"/>
    </w:r>
    <w:r>
      <w:instrText xml:space="preserve">PAGE   \* MERGEFORMAT</w:instrText>
    </w:r>
    <w:r>
      <w:fldChar w:fldCharType="separate"/>
    </w:r>
    <w:r>
      <w:t>2</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6838497">
    <w:nsid w:val="6523B361"/>
    <w:multiLevelType w:val="singleLevel"/>
    <w:tmpl w:val="6523B361"/>
    <w:lvl w:ilvl="0" w:tentative="1">
      <w:start w:val="2"/>
      <w:numFmt w:val="decimal"/>
      <w:suff w:val="nothing"/>
      <w:lvlText w:val="%1．"/>
      <w:lvlJc w:val="left"/>
    </w:lvl>
  </w:abstractNum>
  <w:abstractNum w:abstractNumId="1696839024">
    <w:nsid w:val="6523B570"/>
    <w:multiLevelType w:val="singleLevel"/>
    <w:tmpl w:val="6523B570"/>
    <w:lvl w:ilvl="0" w:tentative="1">
      <w:start w:val="3"/>
      <w:numFmt w:val="decimal"/>
      <w:suff w:val="nothing"/>
      <w:lvlText w:val="%1．"/>
      <w:lvlJc w:val="left"/>
    </w:lvl>
  </w:abstractNum>
  <w:abstractNum w:abstractNumId="1695719678">
    <w:nsid w:val="6512A0FE"/>
    <w:multiLevelType w:val="singleLevel"/>
    <w:tmpl w:val="6512A0FE"/>
    <w:lvl w:ilvl="0" w:tentative="1">
      <w:start w:val="1"/>
      <w:numFmt w:val="chineseCounting"/>
      <w:suff w:val="nothing"/>
      <w:lvlText w:val="%1、"/>
      <w:lvlJc w:val="left"/>
    </w:lvl>
  </w:abstractNum>
  <w:abstractNum w:abstractNumId="1695869871">
    <w:nsid w:val="6514EBAF"/>
    <w:multiLevelType w:val="singleLevel"/>
    <w:tmpl w:val="6514EBAF"/>
    <w:lvl w:ilvl="0" w:tentative="1">
      <w:start w:val="1"/>
      <w:numFmt w:val="decimal"/>
      <w:suff w:val="nothing"/>
      <w:lvlText w:val="%1."/>
      <w:lvlJc w:val="left"/>
    </w:lvl>
  </w:abstractNum>
  <w:abstractNum w:abstractNumId="1695890495">
    <w:nsid w:val="65153C3F"/>
    <w:multiLevelType w:val="singleLevel"/>
    <w:tmpl w:val="65153C3F"/>
    <w:lvl w:ilvl="0" w:tentative="1">
      <w:start w:val="1"/>
      <w:numFmt w:val="chineseCounting"/>
      <w:suff w:val="nothing"/>
      <w:lvlText w:val="（%1）"/>
      <w:lvlJc w:val="left"/>
    </w:lvl>
  </w:abstractNum>
  <w:abstractNum w:abstractNumId="1696730312">
    <w:nsid w:val="65220CC8"/>
    <w:multiLevelType w:val="singleLevel"/>
    <w:tmpl w:val="65220CC8"/>
    <w:lvl w:ilvl="0" w:tentative="1">
      <w:start w:val="3"/>
      <w:numFmt w:val="chineseCounting"/>
      <w:suff w:val="nothing"/>
      <w:lvlText w:val="（%1）"/>
      <w:lvlJc w:val="left"/>
    </w:lvl>
  </w:abstractNum>
  <w:abstractNum w:abstractNumId="1668654252">
    <w:nsid w:val="6375A4AC"/>
    <w:multiLevelType w:val="singleLevel"/>
    <w:tmpl w:val="6375A4AC"/>
    <w:lvl w:ilvl="0" w:tentative="1">
      <w:start w:val="1"/>
      <w:numFmt w:val="chineseCounting"/>
      <w:suff w:val="nothing"/>
      <w:lvlText w:val="（%1）"/>
      <w:lvlJc w:val="left"/>
    </w:lvl>
  </w:abstractNum>
  <w:abstractNum w:abstractNumId="3737056035">
    <w:nsid w:val="DEBEF323"/>
    <w:multiLevelType w:val="singleLevel"/>
    <w:tmpl w:val="DEBEF323"/>
    <w:lvl w:ilvl="0" w:tentative="1">
      <w:start w:val="4"/>
      <w:numFmt w:val="chineseCounting"/>
      <w:suff w:val="nothing"/>
      <w:lvlText w:val="（%1）"/>
      <w:lvlJc w:val="left"/>
      <w:rPr>
        <w:rFonts w:hint="eastAsia"/>
      </w:r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abstractNum w:abstractNumId="4294341820">
    <w:nsid w:val="FFF674BC"/>
    <w:multiLevelType w:val="singleLevel"/>
    <w:tmpl w:val="FFF674BC"/>
    <w:lvl w:ilvl="0" w:tentative="1">
      <w:start w:val="1"/>
      <w:numFmt w:val="chineseCounting"/>
      <w:suff w:val="nothing"/>
      <w:lvlText w:val="%1、"/>
      <w:lvlJc w:val="left"/>
      <w:rPr>
        <w:rFonts w:hint="eastAsia"/>
      </w:rPr>
    </w:lvl>
  </w:abstractNum>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697072525">
    <w:nsid w:val="6527458D"/>
    <w:multiLevelType w:val="singleLevel"/>
    <w:tmpl w:val="6527458D"/>
    <w:lvl w:ilvl="0" w:tentative="1">
      <w:start w:val="3"/>
      <w:numFmt w:val="chineseCounting"/>
      <w:suff w:val="nothing"/>
      <w:lvlText w:val="（%1）"/>
      <w:lvlJc w:val="left"/>
    </w:lvl>
  </w:abstractNum>
  <w:num w:numId="1">
    <w:abstractNumId w:val="1695719678"/>
  </w:num>
  <w:num w:numId="2">
    <w:abstractNumId w:val="309482763"/>
  </w:num>
  <w:num w:numId="3">
    <w:abstractNumId w:val="1695869871"/>
  </w:num>
  <w:num w:numId="4">
    <w:abstractNumId w:val="3479514348"/>
  </w:num>
  <w:num w:numId="5">
    <w:abstractNumId w:val="3808035965"/>
  </w:num>
  <w:num w:numId="6">
    <w:abstractNumId w:val="4294341820"/>
  </w:num>
  <w:num w:numId="7">
    <w:abstractNumId w:val="1695890495"/>
  </w:num>
  <w:num w:numId="8">
    <w:abstractNumId w:val="1697072525"/>
  </w:num>
  <w:num w:numId="9">
    <w:abstractNumId w:val="3737056035"/>
  </w:num>
  <w:num w:numId="10">
    <w:abstractNumId w:val="1696730312"/>
  </w:num>
  <w:num w:numId="11">
    <w:abstractNumId w:val="1696838497"/>
  </w:num>
  <w:num w:numId="12">
    <w:abstractNumId w:val="1696839024"/>
  </w:num>
  <w:num w:numId="13">
    <w:abstractNumId w:val="16686542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E5MTM1ZGRjMWMzM2Y4OWIwMTgyNzYyYzIzMDJiZW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paragraph" w:styleId="5">
    <w:name w:val="Salutation"/>
    <w:basedOn w:val="1"/>
    <w:next w:val="1"/>
    <w:semiHidden/>
    <w:unhideWhenUsed/>
    <w:qFormat/>
    <w:uiPriority w:val="99"/>
    <w:rPr>
      <w:kern w:val="0"/>
      <w:sz w:val="24"/>
      <w:szCs w:val="24"/>
    </w:rPr>
  </w:style>
  <w:style w:type="paragraph" w:styleId="6">
    <w:name w:val="Body Text"/>
    <w:basedOn w:val="1"/>
    <w:link w:val="30"/>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17">
    <w:name w:val="Strong"/>
    <w:basedOn w:val="16"/>
    <w:qFormat/>
    <w:uiPriority w:val="99"/>
    <w:rPr>
      <w:b/>
    </w:rPr>
  </w:style>
  <w:style w:type="character" w:styleId="18">
    <w:name w:val="Hyperlink"/>
    <w:basedOn w:val="16"/>
    <w:unhideWhenUsed/>
    <w:qFormat/>
    <w:uiPriority w:val="99"/>
    <w:rPr>
      <w:color w:val="0000FF"/>
      <w:u w:val="single"/>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List Paragraph"/>
    <w:basedOn w:val="1"/>
    <w:qFormat/>
    <w:uiPriority w:val="34"/>
    <w:pPr>
      <w:ind w:firstLine="420" w:firstLineChars="200"/>
    </w:pPr>
  </w:style>
  <w:style w:type="paragraph" w:customStyle="1" w:styleId="22">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3">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25">
    <w:name w:val="Header Char"/>
    <w:basedOn w:val="16"/>
    <w:semiHidden/>
    <w:qFormat/>
    <w:uiPriority w:val="99"/>
    <w:rPr>
      <w:rFonts w:ascii="Times New Roman" w:hAnsi="Times New Roman"/>
      <w:sz w:val="18"/>
      <w:szCs w:val="18"/>
    </w:rPr>
  </w:style>
  <w:style w:type="character" w:customStyle="1" w:styleId="26">
    <w:name w:val="页眉 Char"/>
    <w:link w:val="12"/>
    <w:semiHidden/>
    <w:qFormat/>
    <w:locked/>
    <w:uiPriority w:val="99"/>
    <w:rPr>
      <w:sz w:val="18"/>
    </w:rPr>
  </w:style>
  <w:style w:type="character" w:customStyle="1" w:styleId="27">
    <w:name w:val="Footer Char"/>
    <w:basedOn w:val="16"/>
    <w:semiHidden/>
    <w:qFormat/>
    <w:uiPriority w:val="99"/>
    <w:rPr>
      <w:rFonts w:ascii="Times New Roman" w:hAnsi="Times New Roman"/>
      <w:sz w:val="18"/>
      <w:szCs w:val="18"/>
    </w:rPr>
  </w:style>
  <w:style w:type="character" w:customStyle="1" w:styleId="28">
    <w:name w:val="页脚 Char"/>
    <w:link w:val="10"/>
    <w:qFormat/>
    <w:locked/>
    <w:uiPriority w:val="99"/>
    <w:rPr>
      <w:sz w:val="18"/>
    </w:rPr>
  </w:style>
  <w:style w:type="character" w:customStyle="1" w:styleId="29">
    <w:name w:val="Body Text Char"/>
    <w:basedOn w:val="16"/>
    <w:semiHidden/>
    <w:qFormat/>
    <w:uiPriority w:val="99"/>
    <w:rPr>
      <w:rFonts w:ascii="Times New Roman" w:hAnsi="Times New Roman"/>
      <w:szCs w:val="24"/>
    </w:rPr>
  </w:style>
  <w:style w:type="character" w:customStyle="1" w:styleId="30">
    <w:name w:val="正文文本 Char"/>
    <w:link w:val="6"/>
    <w:qFormat/>
    <w:locked/>
    <w:uiPriority w:val="99"/>
    <w:rPr>
      <w:rFonts w:ascii="仿宋_GB2312" w:hAnsi="Times New Roman" w:eastAsia="仿宋_GB2312"/>
      <w:sz w:val="24"/>
    </w:rPr>
  </w:style>
  <w:style w:type="character" w:customStyle="1" w:styleId="31">
    <w:name w:val="标题 1 Char"/>
    <w:basedOn w:val="16"/>
    <w:link w:val="2"/>
    <w:qFormat/>
    <w:uiPriority w:val="9"/>
    <w:rPr>
      <w:rFonts w:ascii="Times New Roman" w:hAnsi="Times New Roman"/>
      <w:b/>
      <w:bCs/>
      <w:kern w:val="44"/>
      <w:sz w:val="44"/>
      <w:szCs w:val="44"/>
    </w:rPr>
  </w:style>
  <w:style w:type="character" w:customStyle="1" w:styleId="32">
    <w:name w:val="标题 2 Char"/>
    <w:basedOn w:val="16"/>
    <w:link w:val="3"/>
    <w:qFormat/>
    <w:uiPriority w:val="9"/>
    <w:rPr>
      <w:rFonts w:ascii="Cambria" w:hAnsi="Cambria" w:eastAsia="宋体" w:cs="黑体"/>
      <w:b/>
      <w:bCs/>
      <w:kern w:val="2"/>
      <w:sz w:val="32"/>
      <w:szCs w:val="32"/>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oleObject" Target="embeddings/oleObject3.bin"/><Relationship Id="rId12" Type="http://schemas.openxmlformats.org/officeDocument/2006/relationships/image" Target="media/image3.png"/><Relationship Id="rId13" Type="http://schemas.openxmlformats.org/officeDocument/2006/relationships/oleObject" Target="embeddings/oleObject4.bin"/><Relationship Id="rId14" Type="http://schemas.openxmlformats.org/officeDocument/2006/relationships/image" Target="media/image4.png"/><Relationship Id="rId15" Type="http://schemas.openxmlformats.org/officeDocument/2006/relationships/oleObject" Target="embeddings/oleObject5.bin"/><Relationship Id="rId16" Type="http://schemas.openxmlformats.org/officeDocument/2006/relationships/image" Target="media/image5.png"/><Relationship Id="rId17" Type="http://schemas.openxmlformats.org/officeDocument/2006/relationships/oleObject" Target="embeddings/oleObject6.bin"/><Relationship Id="rId18" Type="http://schemas.openxmlformats.org/officeDocument/2006/relationships/image" Target="media/image6.png"/><Relationship Id="rId19" Type="http://schemas.openxmlformats.org/officeDocument/2006/relationships/oleObject" Target="embeddings/oleObject7.bin"/><Relationship Id="rId2" Type="http://schemas.openxmlformats.org/officeDocument/2006/relationships/styles" Target="styles.xml"/><Relationship Id="rId20" Type="http://schemas.openxmlformats.org/officeDocument/2006/relationships/image" Target="media/image7.png"/><Relationship Id="rId21" Type="http://schemas.openxmlformats.org/officeDocument/2006/relationships/customXml" Target="../customXml/item1.xml"/><Relationship Id="rId2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oleObject" Target="embeddings/oleObject1.bin"/><Relationship Id="rId8"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Administrator</cp:lastModifiedBy>
  <cp:lastPrinted>2023-10-12T01:10:33Z</cp:lastPrinted>
  <dcterms:modified xsi:type="dcterms:W3CDTF">2023-10-12T02:36:12Z</dcterms:modified>
  <dc:title>四川省***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y fmtid="{D5CDD505-2E9C-101B-9397-08002B2CF9AE}" pid="3" name="ICV">
    <vt:lpwstr>FA522A1F07944B5A8B3FF9651125F79C</vt:lpwstr>
  </property>
</Properties>
</file>